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g"/>
            <wp:cNvGraphicFramePr/>
            <a:graphic xmlns:a="http://schemas.openxmlformats.org/drawingml/2006/main">
              <a:graphicData uri="http://schemas.openxmlformats.org/drawingml/2006/picture">
                <pic:pic xmlns:pic="http://schemas.openxmlformats.org/drawingml/2006/picture">
                  <pic:nvPicPr>
                    <pic:cNvPr id="1073741825" name="208.jpg" descr="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5408" behindDoc="0" locked="0" layoutInCell="1" allowOverlap="1">
                <wp:simplePos x="0" y="0"/>
                <wp:positionH relativeFrom="margin">
                  <wp:posOffset>2548760</wp:posOffset>
                </wp:positionH>
                <wp:positionV relativeFrom="line">
                  <wp:posOffset>202780</wp:posOffset>
                </wp:positionV>
                <wp:extent cx="268881" cy="295866"/>
                <wp:effectExtent l="0" t="0" r="0" b="0"/>
                <wp:wrapNone/>
                <wp:docPr id="1073741827" name="officeArt object" descr="TM"/>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pPr>
                            <w:r>
                              <w:rPr>
                                <w:rFonts w:ascii="Helvetica Neue" w:hAnsi="Helvetica Neue"/>
                                <w:sz w:val="16"/>
                                <w:szCs w:val="16"/>
                                <w:rtl w:val="0"/>
                                <w:lang w:val="zh-CN" w:eastAsia="zh-CN"/>
                              </w:rPr>
                              <w:t>TM</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00.7pt;margin-top:16.0pt;width:21.2pt;height:23.3pt;z-index:25166540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pPr>
                      <w:r>
                        <w:rPr>
                          <w:rFonts w:ascii="Helvetica Neue" w:hAnsi="Helvetica Neue"/>
                          <w:sz w:val="16"/>
                          <w:szCs w:val="16"/>
                          <w:rtl w:val="0"/>
                          <w:lang w:val="zh-CN" w:eastAsia="zh-CN"/>
                        </w:rPr>
                        <w:t>TM</w:t>
                      </w:r>
                    </w:p>
                  </w:txbxContent>
                </v:textbox>
                <w10:wrap type="none" side="bothSides" anchorx="margin"/>
              </v:shape>
            </w:pict>
          </mc:Fallback>
        </mc:AlternateContent>
      </w:r>
    </w:p>
    <w:p>
      <w:pPr>
        <w:pStyle w:val="默认"/>
        <w:spacing w:after="0" w:line="336" w:lineRule="auto"/>
        <w:ind w:firstLine="454"/>
        <w:jc w:val="both"/>
      </w:pPr>
      <w:r>
        <w:rPr>
          <w:rFonts w:ascii="Arial Unicode MS" w:cs="Arial Unicode MS" w:hAnsi="Arial Unicode MS" w:eastAsia="Arial Unicode MS" w:hint="eastAsia"/>
          <w:b w:val="0"/>
          <w:bCs w:val="0"/>
          <w:i w:val="0"/>
          <w:iCs w:val="0"/>
          <w:rtl w:val="0"/>
          <w:lang w:val="zh-CN" w:eastAsia="zh-CN"/>
        </w:rPr>
        <w:t>银行的共富引擎作用体现在通过提供更高质量的金融服务，促进资源在社会中的均衡配置，支持经济社会发展的重点领域和薄弱环节，从而推动共同富裕的实现。</w:t>
      </w:r>
    </w:p>
    <w:p>
      <w:pPr>
        <w:pStyle w:val="默认"/>
        <w:spacing w:after="0" w:line="336" w:lineRule="auto"/>
        <w:ind w:firstLine="454"/>
        <w:jc w:val="both"/>
      </w:pPr>
      <w:r>
        <w:rPr>
          <w:rFonts w:ascii="Arial Unicode MS" w:cs="Arial Unicode MS" w:hAnsi="Arial Unicode MS" w:eastAsia="Arial Unicode MS" w:hint="eastAsia"/>
          <w:b w:val="0"/>
          <w:bCs w:val="0"/>
          <w:i w:val="0"/>
          <w:iCs w:val="0"/>
          <w:rtl w:val="0"/>
          <w:lang w:val="zh-CN" w:eastAsia="zh-CN"/>
        </w:rPr>
        <w:t>通过信贷、投资等金融活动，将资金有效地配置到能够促进经济增长和社会进步的领域，如支持小微企业、农业、教育、医疗等关键部门，帮助这些领域获得发展所需的资金，从而促进社会整体的繁荣和进步。</w:t>
      </w:r>
    </w:p>
    <w:p>
      <w:pPr>
        <w:pStyle w:val="默认"/>
        <w:spacing w:after="0" w:line="336" w:lineRule="auto"/>
        <w:ind w:firstLine="454"/>
        <w:jc w:val="both"/>
      </w:pPr>
      <w:r>
        <w:rPr>
          <w:rFonts w:ascii="Arial Unicode MS" w:cs="Arial Unicode MS" w:hAnsi="Arial Unicode MS" w:eastAsia="Arial Unicode MS" w:hint="eastAsia"/>
          <w:b w:val="0"/>
          <w:bCs w:val="0"/>
          <w:i w:val="0"/>
          <w:iCs w:val="0"/>
          <w:rtl w:val="0"/>
          <w:lang w:val="zh-CN" w:eastAsia="zh-CN"/>
        </w:rPr>
        <w:t>通过供应链金融服务，支持产业链上下游企业的发展，增强产业链的韧性和竞争力，这有助于整个产业的健康发展，同时也能够带动就业，提高居民收入水平，实现共富价值。</w:t>
      </w:r>
    </w:p>
    <w:p>
      <w:pPr>
        <w:pStyle w:val="默认"/>
        <w:spacing w:after="0" w:line="336" w:lineRule="auto"/>
        <w:ind w:firstLine="454"/>
        <w:jc w:val="both"/>
      </w:pPr>
      <w:r>
        <w:rPr>
          <w:rFonts w:ascii="Arial Unicode MS" w:cs="Arial Unicode MS" w:hAnsi="Arial Unicode MS" w:eastAsia="Arial Unicode MS" w:hint="eastAsia"/>
          <w:b w:val="0"/>
          <w:bCs w:val="0"/>
          <w:i w:val="0"/>
          <w:iCs w:val="0"/>
          <w:rtl w:val="0"/>
          <w:lang w:val="zh-CN" w:eastAsia="zh-CN"/>
        </w:rPr>
        <w:t>承担起社会责任，通过各种公益活动和慈善</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30" name="officeArt object" descr="《共富引擎》…"/>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《共富引擎》</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高质量发展引擎系列沙盘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《共富引擎》</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高质量发展引擎系列沙盘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r/>
                    </w:p>
                  </w:txbxContent>
                </v:textbox>
                <w10:wrap type="through" side="bothSides" anchorx="page" anchory="page"/>
              </v:shape>
            </w:pict>
          </mc:Fallback>
        </mc:AlternateContent>
      </w:r>
      <w:r>
        <w:rPr>
          <w:rFonts w:ascii="Arial Unicode MS" w:cs="Arial Unicode MS" w:hAnsi="Arial Unicode MS" w:eastAsia="Arial Unicode MS" w:hint="eastAsia"/>
          <w:b w:val="0"/>
          <w:bCs w:val="0"/>
          <w:i w:val="0"/>
          <w:iCs w:val="0"/>
          <w:rtl w:val="0"/>
          <w:lang w:val="zh-CN" w:eastAsia="zh-CN"/>
        </w:rPr>
        <w:t>捐赠，直接参与到扶贫、教育、医疗等领域的支持中，为社会的共同富裕做出贡献。</w:t>
      </w:r>
    </w:p>
    <w:p>
      <w:pPr>
        <w:pStyle w:val="默认"/>
        <w:spacing w:after="0" w:line="336" w:lineRule="auto"/>
        <w:ind w:firstLine="454"/>
        <w:jc w:val="both"/>
      </w:pPr>
      <w:r>
        <w:rPr>
          <w:rFonts w:ascii="Arial Unicode MS" w:cs="Arial Unicode MS" w:hAnsi="Arial Unicode MS" w:eastAsia="Arial Unicode MS" w:hint="eastAsia"/>
          <w:b w:val="0"/>
          <w:bCs w:val="0"/>
          <w:i w:val="0"/>
          <w:iCs w:val="0"/>
          <w:rtl w:val="0"/>
          <w:lang w:val="zh-CN" w:eastAsia="zh-CN"/>
        </w:rPr>
        <w:t>积极响应国家政策，通过实施差异化的信贷政策、优惠利率等措施，支持国家战略新兴产业发展，促进区域经济均衡发展，推动社会经济结构的优化升级。</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为了让银行新人更深入的了解行业使命和企业特点，本沙盘将外部环境变量、竞争因素、业务发展内容等，结合行业的发展和预期，整理在《共富引擎》沙盘中，让行业从业者可以更直观的验证自己的观点。在模拟决策中，结合系统培训班的内容，开拓自身视野和认知找到与企业战略发展的结合点，并最终融入到自己的实际工作中去。</w:t>
      </w:r>
    </w:p>
    <w:p>
      <w:pPr>
        <w:pStyle w:val="默认"/>
        <w:spacing w:after="0"/>
        <w:ind w:firstLine="567"/>
        <w:jc w:val="both"/>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643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54.3pt;width:481.9pt;height:0.0pt;z-index:25166643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ind w:firstLine="454"/>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w:t>
      </w:r>
      <w:r>
        <w:rPr>
          <w:rFonts w:ascii="Arial Unicode MS" w:cs="Arial Unicode MS" w:hAnsi="Arial Unicode MS" w:eastAsia="Arial Unicode MS" w:hint="eastAsia"/>
          <w:b w:val="0"/>
          <w:bCs w:val="0"/>
          <w:i w:val="0"/>
          <w:iCs w:val="0"/>
          <w:rtl w:val="0"/>
          <w:lang w:val="zh-CN" w:eastAsia="zh-CN"/>
        </w:rPr>
        <w:t>适合金融行业中层管理者及骨干员工</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spacing w:line="312" w:lineRule="auto"/>
        <w:ind w:firstLine="454"/>
        <w:jc w:val="left"/>
      </w:pPr>
      <w:r>
        <w:rPr>
          <w:rFonts w:ascii="Helvetica Neue" w:hAnsi="Helvetica Neue"/>
          <w:rtl w:val="0"/>
        </w:rPr>
        <w:t xml:space="preserve">1. </w:t>
      </w:r>
      <w:r>
        <w:rPr>
          <w:rFonts w:ascii="Arial Unicode MS" w:cs="Arial Unicode MS" w:hAnsi="Arial Unicode MS" w:eastAsia="Arial Unicode MS" w:hint="eastAsia"/>
          <w:b w:val="0"/>
          <w:bCs w:val="0"/>
          <w:i w:val="0"/>
          <w:iCs w:val="0"/>
          <w:rtl w:val="0"/>
          <w:lang w:val="zh-CN" w:eastAsia="zh-CN"/>
        </w:rPr>
        <w:t>视野拓宽：通过</w:t>
      </w:r>
      <w:r>
        <w:rPr>
          <w:rFonts w:ascii="Arial Unicode MS" w:cs="Arial Unicode MS" w:hAnsi="Arial Unicode MS" w:eastAsia="Arial Unicode MS" w:hint="eastAsia"/>
          <w:b w:val="0"/>
          <w:bCs w:val="0"/>
          <w:i w:val="0"/>
          <w:iCs w:val="0"/>
          <w:rtl w:val="0"/>
          <w:lang w:val="zh-CN" w:eastAsia="zh-CN"/>
        </w:rPr>
        <w:t>沙盘中的市场洞察环节，</w:t>
      </w:r>
      <w:r>
        <w:rPr>
          <w:rFonts w:ascii="Arial Unicode MS" w:cs="Arial Unicode MS" w:hAnsi="Arial Unicode MS" w:eastAsia="Arial Unicode MS" w:hint="eastAsia"/>
          <w:b w:val="0"/>
          <w:bCs w:val="0"/>
          <w:i w:val="0"/>
          <w:iCs w:val="0"/>
          <w:rtl w:val="0"/>
          <w:lang w:val="zh-CN" w:eastAsia="zh-CN"/>
        </w:rPr>
        <w:t>对宏观经济趋势、行业发展概况和监管政策的深入理解，增强战略决策的高度和前瞻性。</w:t>
      </w:r>
    </w:p>
    <w:p>
      <w:pPr>
        <w:pStyle w:val="正文"/>
        <w:spacing w:line="312" w:lineRule="auto"/>
        <w:ind w:firstLine="454"/>
        <w:jc w:val="left"/>
      </w:pPr>
      <w:r>
        <w:rPr>
          <w:rFonts w:ascii="Helvetica Neue" w:hAnsi="Helvetica Neue"/>
          <w:rtl w:val="0"/>
          <w:lang w:val="zh-CN" w:eastAsia="zh-CN"/>
        </w:rPr>
        <w:t>2</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风险控制：掌握风险识别、评估和管理的先进方法，提高在复杂环境下的风险应对能力。</w:t>
      </w:r>
    </w:p>
    <w:p>
      <w:pPr>
        <w:pStyle w:val="正文"/>
        <w:spacing w:line="312" w:lineRule="auto"/>
        <w:ind w:firstLine="454"/>
        <w:jc w:val="left"/>
      </w:pPr>
      <w:r>
        <w:rPr>
          <w:rFonts w:ascii="Helvetica Neue" w:hAnsi="Helvetica Neue"/>
          <w:rtl w:val="0"/>
          <w:lang w:val="zh-CN" w:eastAsia="zh-CN"/>
        </w:rPr>
        <w:t>3</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效能提高：学习并实践有效的</w:t>
      </w:r>
      <w:r>
        <w:rPr>
          <w:rFonts w:ascii="Arial Unicode MS" w:cs="Arial Unicode MS" w:hAnsi="Arial Unicode MS" w:eastAsia="Arial Unicode MS" w:hint="eastAsia"/>
          <w:b w:val="0"/>
          <w:bCs w:val="0"/>
          <w:i w:val="0"/>
          <w:iCs w:val="0"/>
          <w:rtl w:val="0"/>
          <w:lang w:val="zh-CN" w:eastAsia="zh-CN"/>
        </w:rPr>
        <w:t>个人成长策略</w:t>
      </w:r>
      <w:r>
        <w:rPr>
          <w:rFonts w:ascii="Arial Unicode MS" w:cs="Arial Unicode MS" w:hAnsi="Arial Unicode MS" w:eastAsia="Arial Unicode MS" w:hint="eastAsia"/>
          <w:b w:val="0"/>
          <w:bCs w:val="0"/>
          <w:i w:val="0"/>
          <w:iCs w:val="0"/>
          <w:rtl w:val="0"/>
          <w:lang w:val="zh-CN" w:eastAsia="zh-CN"/>
        </w:rPr>
        <w:t>，提高管理效能和团队执行力。</w:t>
      </w:r>
    </w:p>
    <w:p>
      <w:pPr>
        <w:pStyle w:val="正文"/>
        <w:spacing w:line="312" w:lineRule="auto"/>
        <w:ind w:firstLine="454"/>
        <w:jc w:val="left"/>
      </w:pPr>
      <w:r>
        <w:rPr>
          <w:rFonts w:ascii="Helvetica Neue" w:hAnsi="Helvetica Neue"/>
          <w:rtl w:val="0"/>
          <w:lang w:val="zh-CN" w:eastAsia="zh-CN"/>
        </w:rPr>
        <w:t>4</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变革</w:t>
      </w:r>
      <w:r>
        <w:rPr>
          <w:rFonts w:ascii="Arial Unicode MS" w:cs="Arial Unicode MS" w:hAnsi="Arial Unicode MS" w:eastAsia="Arial Unicode MS" w:hint="eastAsia"/>
          <w:b w:val="0"/>
          <w:bCs w:val="0"/>
          <w:i w:val="0"/>
          <w:iCs w:val="0"/>
          <w:rtl w:val="0"/>
          <w:lang w:val="zh-CN" w:eastAsia="zh-CN"/>
        </w:rPr>
        <w:t>发展</w:t>
      </w:r>
      <w:r>
        <w:rPr>
          <w:rFonts w:ascii="Arial Unicode MS" w:cs="Arial Unicode MS" w:hAnsi="Arial Unicode MS" w:eastAsia="Arial Unicode MS" w:hint="eastAsia"/>
          <w:b w:val="0"/>
          <w:bCs w:val="0"/>
          <w:i w:val="0"/>
          <w:iCs w:val="0"/>
          <w:rtl w:val="0"/>
          <w:lang w:val="zh-CN" w:eastAsia="zh-CN"/>
        </w:rPr>
        <w:t>：掌握</w:t>
      </w:r>
      <w:r>
        <w:rPr>
          <w:rFonts w:ascii="Arial Unicode MS" w:cs="Arial Unicode MS" w:hAnsi="Arial Unicode MS" w:eastAsia="Arial Unicode MS" w:hint="eastAsia"/>
          <w:b w:val="0"/>
          <w:bCs w:val="0"/>
          <w:i w:val="0"/>
          <w:iCs w:val="0"/>
          <w:rtl w:val="0"/>
          <w:lang w:val="zh-CN" w:eastAsia="zh-CN"/>
        </w:rPr>
        <w:t>应对</w:t>
      </w:r>
      <w:r>
        <w:rPr>
          <w:rFonts w:ascii="Arial Unicode MS" w:cs="Arial Unicode MS" w:hAnsi="Arial Unicode MS" w:eastAsia="Arial Unicode MS" w:hint="eastAsia"/>
          <w:b w:val="0"/>
          <w:bCs w:val="0"/>
          <w:i w:val="0"/>
          <w:iCs w:val="0"/>
          <w:rtl w:val="0"/>
          <w:lang w:val="zh-CN" w:eastAsia="zh-CN"/>
        </w:rPr>
        <w:t>变革的核心技能，提升适应和引导变革的能力，减少变革过程中的阻力和冲突。</w:t>
      </w:r>
    </w:p>
    <w:p>
      <w:pPr>
        <w:pStyle w:val="正文"/>
        <w:spacing w:line="312" w:lineRule="auto"/>
        <w:ind w:firstLine="454"/>
        <w:jc w:val="left"/>
      </w:pPr>
      <w:r>
        <w:rPr>
          <w:rFonts w:ascii="Helvetica Neue" w:hAnsi="Helvetica Neue"/>
          <w:rtl w:val="0"/>
          <w:lang w:val="zh-CN" w:eastAsia="zh-CN"/>
        </w:rPr>
        <w:t>5</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职业发展：为个人职业发展提供支持，提升市场竞争力和职业价值。</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企业受益</w:t>
      </w:r>
    </w:p>
    <w:p>
      <w:pPr>
        <w:pStyle w:val="正文"/>
        <w:spacing w:line="312" w:lineRule="auto"/>
        <w:ind w:firstLine="454"/>
        <w:jc w:val="left"/>
      </w:pPr>
      <w:r>
        <w:rPr>
          <w:rFonts w:ascii="Helvetica Neue" w:hAnsi="Helvetica Neue"/>
          <w:rtl w:val="0"/>
        </w:rPr>
        <w:t xml:space="preserve">1. </w:t>
      </w:r>
      <w:r>
        <w:rPr>
          <w:rFonts w:ascii="Arial Unicode MS" w:cs="Arial Unicode MS" w:hAnsi="Arial Unicode MS" w:eastAsia="Arial Unicode MS" w:hint="eastAsia"/>
          <w:b w:val="0"/>
          <w:bCs w:val="0"/>
          <w:i w:val="0"/>
          <w:iCs w:val="0"/>
          <w:rtl w:val="0"/>
          <w:lang w:val="zh-CN" w:eastAsia="zh-CN"/>
        </w:rPr>
        <w:t>经营战略</w:t>
      </w:r>
      <w:r>
        <w:rPr>
          <w:rFonts w:ascii="Arial Unicode MS" w:cs="Arial Unicode MS" w:hAnsi="Arial Unicode MS" w:eastAsia="Arial Unicode MS" w:hint="eastAsia"/>
          <w:b w:val="0"/>
          <w:bCs w:val="0"/>
          <w:i w:val="0"/>
          <w:iCs w:val="0"/>
          <w:rtl w:val="0"/>
          <w:lang w:val="zh-CN" w:eastAsia="zh-CN"/>
        </w:rPr>
        <w:t>同频</w:t>
      </w:r>
      <w:r>
        <w:rPr>
          <w:rFonts w:ascii="Arial Unicode MS" w:cs="Arial Unicode MS" w:hAnsi="Arial Unicode MS" w:eastAsia="Arial Unicode MS" w:hint="eastAsia"/>
          <w:b w:val="0"/>
          <w:bCs w:val="0"/>
          <w:i w:val="0"/>
          <w:iCs w:val="0"/>
          <w:rtl w:val="0"/>
          <w:lang w:val="zh-CN" w:eastAsia="zh-CN"/>
        </w:rPr>
        <w:t>：管理者能够执行符合市场需求和公司条件的战略规划。</w:t>
      </w:r>
    </w:p>
    <w:p>
      <w:pPr>
        <w:pStyle w:val="正文"/>
        <w:spacing w:line="312" w:lineRule="auto"/>
        <w:ind w:firstLine="454"/>
        <w:jc w:val="left"/>
      </w:pPr>
      <w:r>
        <w:rPr>
          <w:rFonts w:ascii="Helvetica Neue" w:hAnsi="Helvetica Neue"/>
          <w:rtl w:val="0"/>
        </w:rPr>
        <w:t xml:space="preserve">2. </w:t>
      </w:r>
      <w:r>
        <w:rPr>
          <w:rFonts w:ascii="Arial Unicode MS" w:cs="Arial Unicode MS" w:hAnsi="Arial Unicode MS" w:eastAsia="Arial Unicode MS" w:hint="eastAsia"/>
          <w:b w:val="0"/>
          <w:bCs w:val="0"/>
          <w:i w:val="0"/>
          <w:iCs w:val="0"/>
          <w:rtl w:val="0"/>
          <w:lang w:val="zh-CN" w:eastAsia="zh-CN"/>
        </w:rPr>
        <w:t>风控能力增强：提高企业整体的风险识别和管理能力，降低潜在风险带来的影响。</w:t>
      </w:r>
    </w:p>
    <w:p>
      <w:pPr>
        <w:pStyle w:val="正文"/>
        <w:spacing w:line="312" w:lineRule="auto"/>
        <w:ind w:firstLine="454"/>
        <w:jc w:val="left"/>
      </w:pPr>
      <w:r>
        <w:rPr>
          <w:rFonts w:ascii="Helvetica Neue" w:hAnsi="Helvetica Neue"/>
          <w:rtl w:val="0"/>
          <w:lang w:val="zh-CN" w:eastAsia="zh-CN"/>
        </w:rPr>
        <w:t>3</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团队效能提高：通过高效的人员管理和激励机制，提升团队的整体工作效能和业绩。</w:t>
      </w:r>
    </w:p>
    <w:p>
      <w:pPr>
        <w:pStyle w:val="正文"/>
        <w:spacing w:line="312" w:lineRule="auto"/>
        <w:ind w:firstLine="454"/>
        <w:jc w:val="left"/>
      </w:pPr>
      <w:r>
        <w:rPr>
          <w:rFonts w:ascii="Helvetica Neue" w:hAnsi="Helvetica Neue"/>
          <w:rtl w:val="0"/>
          <w:lang w:val="zh-CN" w:eastAsia="zh-CN"/>
        </w:rPr>
        <w:t>4</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企业文化塑造：培养具有共同价值观和愿景的中高层管理团队，促进健康的企业文化的形成。</w:t>
      </w: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为什么要用沙盘：</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沙盘课程参与要点；</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入戏：具备一定的想象力，可以将沙盘的元素联系到工作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出戏：在复盘和总结的阶段，应该能将沙盘的输赢放在其次，收获放在第一位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试错：将自己的管理思想和行业认知通过沙盘推演的决策呈现出来</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自检：沙盘是对一次系统班学习成果的检验，同时也是对自己思维和认知的具象化</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自我提升迭代的障碍；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思维因素：</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骑自行车</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理论看变化中的平衡决策</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认知因素：无法站在更高、更全面的认知范围看待问题找到答案</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管理因素：亲力亲为，没有找到综合的提升部门时间管理能力的途径</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技能因素：缺乏打破</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天花板</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的能力和可能性</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五大缺陷：人类大搞第一系统和第二系统之间的五大缺陷，造成了时间管理的潜在问题</w:t>
      </w:r>
      <w:r>
        <w:drawing xmlns:a="http://schemas.openxmlformats.org/drawingml/2006/main">
          <wp:anchor distT="152400" distB="152400" distL="152400" distR="152400" simplePos="0" relativeHeight="251668480" behindDoc="0" locked="0" layoutInCell="1" allowOverlap="1">
            <wp:simplePos x="0" y="0"/>
            <wp:positionH relativeFrom="margin">
              <wp:posOffset>1560747</wp:posOffset>
            </wp:positionH>
            <wp:positionV relativeFrom="line">
              <wp:posOffset>281390</wp:posOffset>
            </wp:positionV>
            <wp:extent cx="2985863" cy="1933097"/>
            <wp:effectExtent l="0" t="0" r="0" b="0"/>
            <wp:wrapTopAndBottom distT="152400" distB="152400"/>
            <wp:docPr id="1073741833" name="officeArt object" descr="截屏2024-04-11 16.51.54.png"/>
            <wp:cNvGraphicFramePr/>
            <a:graphic xmlns:a="http://schemas.openxmlformats.org/drawingml/2006/main">
              <a:graphicData uri="http://schemas.openxmlformats.org/drawingml/2006/picture">
                <pic:pic xmlns:pic="http://schemas.openxmlformats.org/drawingml/2006/picture">
                  <pic:nvPicPr>
                    <pic:cNvPr id="1073741833" name="截屏2024-04-11 16.51.54.png" descr="截屏2024-04-11 16.51.54.png"/>
                    <pic:cNvPicPr>
                      <a:picLocks noChangeAspect="1"/>
                    </pic:cNvPicPr>
                  </pic:nvPicPr>
                  <pic:blipFill>
                    <a:blip r:embed="rId5">
                      <a:extLst/>
                    </a:blip>
                    <a:stretch>
                      <a:fillRect/>
                    </a:stretch>
                  </pic:blipFill>
                  <pic:spPr>
                    <a:xfrm>
                      <a:off x="0" y="0"/>
                      <a:ext cx="2985863" cy="1933097"/>
                    </a:xfrm>
                    <a:prstGeom prst="rect">
                      <a:avLst/>
                    </a:prstGeom>
                    <a:ln w="12700" cap="flat">
                      <a:noFill/>
                      <a:miter lim="400000"/>
                    </a:ln>
                    <a:effectLst/>
                  </pic:spPr>
                </pic:pic>
              </a:graphicData>
            </a:graphic>
          </wp:anchor>
        </w:drawing>
      </w:r>
    </w:p>
    <w:p>
      <w:pPr>
        <w:pStyle w:val="正文"/>
        <w:spacing w:line="312" w:lineRule="auto"/>
        <w:jc w:val="left"/>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《共富引擎》沙盘推演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沙盘背景介绍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各小组模拟一个区域的支行。</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客户存量大，有一定的市场知名度，但也有很多显性的和潜在的竞争对手。</w:t>
      </w:r>
    </w:p>
    <w:p>
      <w:pPr>
        <w:pStyle w:val="正文"/>
        <w:numPr>
          <w:ilvl w:val="0"/>
          <w:numId w:val="5"/>
        </w:numPr>
        <w:spacing w:line="312" w:lineRule="auto"/>
        <w:jc w:val="left"/>
        <w:rPr>
          <w:lang w:val="zh-CN" w:eastAsia="zh-CN"/>
        </w:rPr>
      </w:pPr>
      <w:r>
        <w:rPr>
          <w:rFonts w:ascii="Helvetica Neue" w:hAnsi="Helvetica Neue"/>
          <w:rtl w:val="0"/>
          <w:lang w:val="zh-CN" w:eastAsia="zh-CN"/>
        </w:rPr>
        <w:t>NPC</w:t>
      </w:r>
      <w:r>
        <w:rPr>
          <w:rFonts w:ascii="Arial Unicode MS" w:cs="Arial Unicode MS" w:hAnsi="Arial Unicode MS" w:eastAsia="Arial Unicode MS" w:hint="eastAsia"/>
          <w:b w:val="0"/>
          <w:bCs w:val="0"/>
          <w:i w:val="0"/>
          <w:iCs w:val="0"/>
          <w:rtl w:val="0"/>
          <w:lang w:val="zh-CN" w:eastAsia="zh-CN"/>
        </w:rPr>
        <w:t>（沙盘引导师）每个阶段都会将</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打包</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好的订单推向市场，各小组的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业务部门</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需要跟进，并最终决定是否接单。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每一轮都会有一些行业信息公布，各小组需要对信息的分解，作为自己的决策依据。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行政官：负责日常运营，模拟职能部门。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发展官：负责市场洞察，模拟的战略部门。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财务官：负责收支平衡，模拟财务部门。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风控部：负责突发事件的预防工作，模拟市场变化。</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业务部：负责满足客户需求的业务过程。</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产品部：负责多元化服务，模拟管理者的创新创造。</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人资部：负责招募团队，并通过有效的激励，提高人均产出。模拟团队建设和发展。</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科技部：负责数字化和智能化，模拟数字化转型中的效率提升。</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关键资源：资源币、竞争力、资产包、行业洞察</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资源币：核心资源，模拟银行可以用来开展运营的资源。</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竞争力：通过业务不断开展，做出正确的决策和反馈，提升组织的市场竞争力。</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行业洞察：反博弈任务，变化的环境下如何持续高效。</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一阶段分享主题：打破固有认知的难点</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思维的惯性。</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习惯的阻碍。</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认知方式的局限。</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深度思考能力的缺失。</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理清团队协同各元素的顺序和关系</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管理者搭建高效平台</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二阶段分享主题：搭建高效合作的团队</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搭建高效团队五大障碍与解决方法：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五大障碍：缺乏信任、惧怕冲突、缺乏承诺、逃避责任、无视结果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具备的五种心态：共赢心态、同理心态、投资心态、担责心态、大局心态。</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部门协作必备技能：建立承诺账户</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避免团队合作的障碍：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高效的反馈机制：</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倾听：有效沟通的关键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提问：了解</w:t>
      </w:r>
      <w:r>
        <w:rPr>
          <w:rFonts w:ascii="Arial Unicode MS" w:cs="Arial Unicode MS" w:hAnsi="Arial Unicode MS" w:eastAsia="Arial Unicode MS" w:hint="eastAsia"/>
          <w:b w:val="0"/>
          <w:bCs w:val="0"/>
          <w:i w:val="0"/>
          <w:iCs w:val="0"/>
          <w:rtl w:val="0"/>
          <w:lang w:val="zh-CN" w:eastAsia="zh-CN"/>
        </w:rPr>
        <w:t>常用的提问</w:t>
      </w:r>
      <w:r>
        <w:rPr>
          <w:rFonts w:ascii="Arial Unicode MS" w:cs="Arial Unicode MS" w:hAnsi="Arial Unicode MS" w:eastAsia="Arial Unicode MS" w:hint="eastAsia"/>
          <w:b w:val="0"/>
          <w:bCs w:val="0"/>
          <w:i w:val="0"/>
          <w:iCs w:val="0"/>
          <w:rtl w:val="0"/>
          <w:lang w:val="zh-CN" w:eastAsia="zh-CN"/>
        </w:rPr>
        <w:t>工具</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反馈：清晰、有条理、高效的表达</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验证前期推演的效果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提升结果和价值</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三阶段分享主题：打造竞争力战略执行力</w:t>
      </w:r>
    </w:p>
    <w:p>
      <w:pPr>
        <w:pStyle w:val="正文"/>
        <w:numPr>
          <w:ilvl w:val="0"/>
          <w:numId w:val="10"/>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目标驱动</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用宏大的愿景力激发自身的意愿度</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打造一贯性的职场人设</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一视同仁的职场原则</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追随力与领导力</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动员群众解决难题</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追随力的同心圆模型</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追随里与驱动力</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沟通力</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开始、结束、继续沟通法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关键对话法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非暴力沟通法</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rPr>
          <w:b w:val="1"/>
          <w:bCs w:val="1"/>
        </w:rPr>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沙盘现场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4"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69504" behindDoc="0" locked="0" layoutInCell="1" allowOverlap="1">
            <wp:simplePos x="0" y="0"/>
            <wp:positionH relativeFrom="margin">
              <wp:posOffset>-6350</wp:posOffset>
            </wp:positionH>
            <wp:positionV relativeFrom="line">
              <wp:posOffset>327937</wp:posOffset>
            </wp:positionV>
            <wp:extent cx="6120057" cy="3628135"/>
            <wp:effectExtent l="0" t="0" r="0" b="0"/>
            <wp:wrapThrough wrapText="bothSides" distL="152400" distR="152400">
              <wp:wrapPolygon edited="1">
                <wp:start x="0" y="0"/>
                <wp:lineTo x="21600" y="0"/>
                <wp:lineTo x="21600" y="21634"/>
                <wp:lineTo x="0" y="21634"/>
                <wp:lineTo x="0" y="0"/>
              </wp:wrapPolygon>
            </wp:wrapThrough>
            <wp:docPr id="1073741835" name="officeArt object" descr="截屏2024-04-27 07.30.02.png"/>
            <wp:cNvGraphicFramePr/>
            <a:graphic xmlns:a="http://schemas.openxmlformats.org/drawingml/2006/main">
              <a:graphicData uri="http://schemas.openxmlformats.org/drawingml/2006/picture">
                <pic:pic xmlns:pic="http://schemas.openxmlformats.org/drawingml/2006/picture">
                  <pic:nvPicPr>
                    <pic:cNvPr id="1073741835" name="截屏2024-04-27 07.30.02.png" descr="截屏2024-04-27 07.30.02.png"/>
                    <pic:cNvPicPr>
                      <a:picLocks noChangeAspect="1"/>
                    </pic:cNvPicPr>
                  </pic:nvPicPr>
                  <pic:blipFill>
                    <a:blip r:embed="rId6">
                      <a:extLst/>
                    </a:blip>
                    <a:stretch>
                      <a:fillRect/>
                    </a:stretch>
                  </pic:blipFill>
                  <pic:spPr>
                    <a:xfrm>
                      <a:off x="0" y="0"/>
                      <a:ext cx="6120057" cy="3628135"/>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pPr>
      <w:r>
        <w:rPr>
          <w:sz w:val="32"/>
          <w:szCs w:val="32"/>
        </w:rPr>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破折号"/>
  </w:abstractNum>
  <w:abstractNum w:abstractNumId="5">
    <w:multiLevelType w:val="hybridMultilevel"/>
    <w:styleLink w:val="破折号"/>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6">
    <w:abstractNumId w:val="5"/>
  </w:num>
  <w:num w:numId="7">
    <w:abstractNumId w:val="4"/>
  </w:num>
  <w:num w:numId="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numbering" w:styleId="破折号">
    <w:name w:val="破折号"/>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