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正文 A"/>
        <w:spacing w:line="312" w:lineRule="auto"/>
      </w:pPr>
      <w:r>
        <w:rPr>
          <w:sz w:val="32"/>
          <w:szCs w:val="32"/>
          <w:rtl w:val="0"/>
          <w:lang w:val="zh-TW" w:eastAsia="zh-TW"/>
        </w:rPr>
        <w:t>课程背景</w:t>
      </w:r>
      <w:r>
        <mc:AlternateContent>
          <mc:Choice Requires="wps">
            <w:drawing xmlns:a="http://schemas.openxmlformats.org/drawingml/2006/main">
              <wp:anchor distT="0" distB="0" distL="0" distR="0" simplePos="0" relativeHeight="251660288" behindDoc="0" locked="0" layoutInCell="1" allowOverlap="1">
                <wp:simplePos x="0" y="0"/>
                <wp:positionH relativeFrom="page">
                  <wp:posOffset>745489</wp:posOffset>
                </wp:positionH>
                <wp:positionV relativeFrom="line">
                  <wp:posOffset>3206506</wp:posOffset>
                </wp:positionV>
                <wp:extent cx="6120058" cy="0"/>
                <wp:effectExtent l="0" t="0" r="0" b="0"/>
                <wp:wrapTopAndBottom distT="0" distB="0"/>
                <wp:docPr id="1073741825" name="officeArt object" descr="线条"/>
                <wp:cNvGraphicFramePr/>
                <a:graphic xmlns:a="http://schemas.openxmlformats.org/drawingml/2006/main">
                  <a:graphicData uri="http://schemas.microsoft.com/office/word/2010/wordprocessingShape">
                    <wps:wsp>
                      <wps:cNvSpPr/>
                      <wps:spPr>
                        <a:xfrm>
                          <a:off x="0" y="0"/>
                          <a:ext cx="6120058" cy="0"/>
                        </a:xfrm>
                        <a:prstGeom prst="line">
                          <a:avLst/>
                        </a:prstGeom>
                        <a:noFill/>
                        <a:ln w="25400" cap="flat">
                          <a:solidFill>
                            <a:srgbClr val="000000"/>
                          </a:solidFill>
                          <a:prstDash val="solid"/>
                          <a:miter lim="400000"/>
                        </a:ln>
                        <a:effectLst/>
                      </wps:spPr>
                      <wps:bodyPr/>
                    </wps:wsp>
                  </a:graphicData>
                </a:graphic>
              </wp:anchor>
            </w:drawing>
          </mc:Choice>
          <mc:Fallback>
            <w:pict>
              <v:line id="_x0000_s1026" style="visibility:visible;position:absolute;margin-left:58.7pt;margin-top:252.5pt;width:481.9pt;height:0.0pt;z-index:251660288;mso-position-horizontal:absolute;mso-position-horizontal-relative:page;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page"/>
              </v:line>
            </w:pict>
          </mc:Fallback>
        </mc:AlternateContent>
      </w:r>
      <w:r>
        <w:drawing xmlns:a="http://schemas.openxmlformats.org/drawingml/2006/main">
          <wp:anchor distT="152400" distB="152400" distL="152400" distR="152400" simplePos="0" relativeHeight="251659264" behindDoc="0" locked="0" layoutInCell="1" allowOverlap="1">
            <wp:simplePos x="0" y="0"/>
            <wp:positionH relativeFrom="margin">
              <wp:posOffset>-6350</wp:posOffset>
            </wp:positionH>
            <wp:positionV relativeFrom="page">
              <wp:posOffset>0</wp:posOffset>
            </wp:positionV>
            <wp:extent cx="6116320" cy="3455257"/>
            <wp:effectExtent l="0" t="0" r="0" b="0"/>
            <wp:wrapThrough wrapText="bothSides" distL="152400" distR="152400">
              <wp:wrapPolygon edited="1">
                <wp:start x="0" y="0"/>
                <wp:lineTo x="21621" y="0"/>
                <wp:lineTo x="21621" y="21619"/>
                <wp:lineTo x="0" y="21619"/>
                <wp:lineTo x="0" y="0"/>
              </wp:wrapPolygon>
            </wp:wrapThrough>
            <wp:docPr id="1073741826" name="officeArt object" descr="截屏2024-10-25 10.05.36.png"/>
            <wp:cNvGraphicFramePr/>
            <a:graphic xmlns:a="http://schemas.openxmlformats.org/drawingml/2006/main">
              <a:graphicData uri="http://schemas.openxmlformats.org/drawingml/2006/picture">
                <pic:pic xmlns:pic="http://schemas.openxmlformats.org/drawingml/2006/picture">
                  <pic:nvPicPr>
                    <pic:cNvPr id="1073741826" name="截屏2024-10-25 10.05.36.png" descr="截屏2024-10-25 10.05.36.png"/>
                    <pic:cNvPicPr>
                      <a:picLocks noChangeAspect="1"/>
                    </pic:cNvPicPr>
                  </pic:nvPicPr>
                  <pic:blipFill>
                    <a:blip r:embed="rId4">
                      <a:extLst/>
                    </a:blip>
                    <a:stretch>
                      <a:fillRect/>
                    </a:stretch>
                  </pic:blipFill>
                  <pic:spPr>
                    <a:xfrm>
                      <a:off x="0" y="0"/>
                      <a:ext cx="6116320" cy="3455257"/>
                    </a:xfrm>
                    <a:prstGeom prst="rect">
                      <a:avLst/>
                    </a:prstGeom>
                    <a:ln w="12700" cap="flat">
                      <a:noFill/>
                      <a:miter lim="400000"/>
                    </a:ln>
                    <a:effectLst/>
                  </pic:spPr>
                </pic:pic>
              </a:graphicData>
            </a:graphic>
          </wp:anchor>
        </w:drawing>
      </w:r>
    </w:p>
    <w:p>
      <w:pPr>
        <w:pStyle w:val="正文 A"/>
        <w:spacing w:line="312" w:lineRule="auto"/>
        <w:ind w:firstLine="454"/>
      </w:pPr>
      <w:r>
        <w:rPr>
          <w:rtl w:val="0"/>
          <w:lang w:val="zh-TW" w:eastAsia="zh-TW"/>
        </w:rPr>
        <w:t>从</w:t>
      </w:r>
      <w:r>
        <w:rPr>
          <w:rFonts w:ascii="Helvetica Neue" w:hAnsi="Helvetica Neue"/>
          <w:rtl w:val="0"/>
          <w:lang w:val="zh-TW" w:eastAsia="zh-TW"/>
        </w:rPr>
        <w:t>1921</w:t>
      </w:r>
      <w:r>
        <w:rPr>
          <w:rtl w:val="0"/>
          <w:lang w:val="zh-TW" w:eastAsia="zh-TW"/>
        </w:rPr>
        <w:t>年到</w:t>
      </w:r>
      <w:r>
        <w:rPr>
          <w:rFonts w:ascii="Helvetica Neue" w:hAnsi="Helvetica Neue"/>
          <w:rtl w:val="0"/>
          <w:lang w:val="en-US"/>
        </w:rPr>
        <w:t>2021</w:t>
      </w:r>
      <w:r>
        <w:rPr>
          <w:rtl w:val="0"/>
          <w:lang w:val="zh-TW" w:eastAsia="zh-TW"/>
        </w:rPr>
        <w:t>年，中国共产党走过了整整一百年的历程。这是用鲜血、汗水、泪水、勇气、智慧、力量写就的百年；是筚路蓝缕、披荆斩棘、艰苦创业、砥砺前行、充满艰险、充满神奇的百年；是苦难中铸就辉煌、挫折后毅然奋起、探索中收获成功、失误后拨乱反正、转折中开创新局、奋斗后赢得未来的百年。</w:t>
      </w:r>
    </w:p>
    <w:p>
      <w:pPr>
        <w:pStyle w:val="正文 A"/>
        <w:spacing w:line="312" w:lineRule="auto"/>
        <w:ind w:firstLine="454"/>
      </w:pPr>
      <w:r>
        <w:rPr>
          <w:rtl w:val="0"/>
          <w:lang w:val="zh-TW" w:eastAsia="zh-TW"/>
        </w:rPr>
        <w:t>在二十大报告中，习近平总书记明确提出了未来新征程上中国共产党的中心任务。总书记强调，从现在起，中国共产党的中心任务就是团结带领全国各族人民全面建成社会主义现代化强国、实现第二个百年奋斗目标，以中国式现代化全面推进中华民族伟大复兴。</w:t>
      </w:r>
    </w:p>
    <w:p>
      <w:pPr>
        <w:pStyle w:val="正文 A"/>
        <w:spacing w:line="312" w:lineRule="auto"/>
        <w:ind w:firstLine="454"/>
      </w:pPr>
      <w:r>
        <w:rPr>
          <w:rtl w:val="0"/>
          <w:lang w:val="zh-TW" w:eastAsia="zh-TW"/>
        </w:rPr>
        <w:t>推进中国式现代化，中国完全有底气。我们仅用几十年的时间就走完了西方发达国家几百年走过的工业化历程，创造了经济快速发展和社会长期稳定的两大奇迹。新时代的非凡十年，我们攻克了许多长期没有解决的难题，办成了许多事关长远的大事要事，推动党和国家事业取得举世瞩目的重大成就。我们完成脱贫攻坚、全面建成小康社会的历史任务，实现了第一个百年奋斗目标。我国经济实力实现历史性跃升，国内生产总值突破</w:t>
      </w:r>
      <w:r>
        <w:rPr>
          <w:rFonts w:ascii="Helvetica Neue" w:hAnsi="Helvetica Neue"/>
          <w:rtl w:val="0"/>
          <w:lang w:val="zh-TW" w:eastAsia="zh-TW"/>
        </w:rPr>
        <w:t>114</w:t>
      </w:r>
      <w:r>
        <w:rPr>
          <w:rtl w:val="0"/>
          <w:lang w:val="zh-TW" w:eastAsia="zh-TW"/>
        </w:rPr>
        <w:t>万亿元，稳居世界第二，是世界经济增长的最大引擎。</w:t>
      </w:r>
      <w:r>
        <w:rPr>
          <w:rFonts w:ascii="Helvetica Neue" w:hAnsi="Helvetica Neue"/>
          <w:rtl w:val="0"/>
          <w:lang w:val="zh-TW" w:eastAsia="zh-TW"/>
        </w:rPr>
        <w:t xml:space="preserve"> </w:t>
      </w:r>
      <w:r>
        <w:rPr>
          <w:rtl w:val="0"/>
          <w:lang w:val="zh-TW" w:eastAsia="zh-TW"/>
        </w:rPr>
        <w:t>新时代十年的伟大变革，为我们成功推进和拓展了中国式现代化。</w:t>
      </w:r>
    </w:p>
    <w:p>
      <w:pPr>
        <w:pStyle w:val="正文 A"/>
        <w:spacing w:line="312" w:lineRule="auto"/>
        <w:ind w:firstLine="454"/>
      </w:pPr>
      <w:r>
        <w:rPr>
          <w:rtl w:val="0"/>
          <w:lang w:val="zh-TW" w:eastAsia="zh-TW"/>
        </w:rPr>
        <w:t>北京大学刘澜教授在近年提出领导力的核心是：追随力</w:t>
      </w:r>
      <w:r>
        <w:rPr>
          <w:rFonts w:ascii="Helvetica Neue" w:hAnsi="Helvetica Neue"/>
          <w:rtl w:val="0"/>
          <w:lang w:val="zh-TW" w:eastAsia="zh-TW"/>
        </w:rPr>
        <w:t>+</w:t>
      </w:r>
      <w:r>
        <w:rPr>
          <w:rtl w:val="0"/>
          <w:lang w:val="zh-TW" w:eastAsia="zh-TW"/>
        </w:rPr>
        <w:t>领导力。在本沙盘中，我们通过对改革开放史和社会主义发展史的探究，学习提升组织领导力的方法。</w:t>
      </w:r>
    </w:p>
    <w:p>
      <w:pPr>
        <w:pStyle w:val="正文 A"/>
        <w:spacing w:line="312" w:lineRule="auto"/>
        <w:ind w:firstLine="454"/>
      </w:pPr>
    </w:p>
    <w:p>
      <w:pPr>
        <w:pStyle w:val="正文 A"/>
        <w:spacing w:line="312" w:lineRule="auto"/>
      </w:pPr>
    </w:p>
    <w:p>
      <w:pPr>
        <w:pStyle w:val="正文 A"/>
        <w:spacing w:line="312" w:lineRule="auto"/>
      </w:pPr>
      <w:r>
        <w:rPr>
          <w:sz w:val="32"/>
          <w:szCs w:val="32"/>
          <w:rtl w:val="0"/>
          <w:lang w:val="zh-TW" w:eastAsia="zh-TW"/>
        </w:rPr>
        <w:t>课程概况</w:t>
      </w:r>
      <w:r>
        <mc:AlternateContent>
          <mc:Choice Requires="wps">
            <w:drawing xmlns:a="http://schemas.openxmlformats.org/drawingml/2006/main">
              <wp:anchor distT="0" distB="0" distL="0" distR="0" simplePos="0" relativeHeight="251663360" behindDoc="0" locked="0" layoutInCell="1" allowOverlap="1">
                <wp:simplePos x="0" y="0"/>
                <wp:positionH relativeFrom="page">
                  <wp:posOffset>745489</wp:posOffset>
                </wp:positionH>
                <wp:positionV relativeFrom="line">
                  <wp:posOffset>283253</wp:posOffset>
                </wp:positionV>
                <wp:extent cx="6120058" cy="0"/>
                <wp:effectExtent l="0" t="0" r="0" b="0"/>
                <wp:wrapTopAndBottom distT="0" distB="0"/>
                <wp:docPr id="1073741827" name="officeArt object" descr="线条"/>
                <wp:cNvGraphicFramePr/>
                <a:graphic xmlns:a="http://schemas.openxmlformats.org/drawingml/2006/main">
                  <a:graphicData uri="http://schemas.microsoft.com/office/word/2010/wordprocessingShape">
                    <wps:wsp>
                      <wps:cNvSpPr/>
                      <wps:spPr>
                        <a:xfrm>
                          <a:off x="0" y="0"/>
                          <a:ext cx="6120058" cy="0"/>
                        </a:xfrm>
                        <a:prstGeom prst="line">
                          <a:avLst/>
                        </a:prstGeom>
                        <a:noFill/>
                        <a:ln w="25400" cap="flat">
                          <a:solidFill>
                            <a:srgbClr val="000000"/>
                          </a:solidFill>
                          <a:prstDash val="solid"/>
                          <a:miter lim="400000"/>
                        </a:ln>
                        <a:effectLst/>
                      </wps:spPr>
                      <wps:bodyPr/>
                    </wps:wsp>
                  </a:graphicData>
                </a:graphic>
              </wp:anchor>
            </w:drawing>
          </mc:Choice>
          <mc:Fallback>
            <w:pict>
              <v:line id="_x0000_s1027" style="visibility:visible;position:absolute;margin-left:58.7pt;margin-top:22.3pt;width:481.9pt;height:0.0pt;z-index:251663360;mso-position-horizontal:absolute;mso-position-horizontal-relative:page;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page"/>
              </v:line>
            </w:pict>
          </mc:Fallback>
        </mc:AlternateContent>
      </w:r>
    </w:p>
    <w:p>
      <w:pPr>
        <w:pStyle w:val="正文 A"/>
        <w:spacing w:line="312" w:lineRule="auto"/>
        <w:rPr>
          <w:rFonts w:ascii="Helvetica Neue" w:cs="Helvetica Neue" w:hAnsi="Helvetica Neue" w:eastAsia="Helvetica Neue"/>
          <w:b w:val="1"/>
          <w:bCs w:val="1"/>
        </w:rPr>
      </w:pPr>
      <w:r>
        <w:rPr>
          <w:rtl w:val="0"/>
          <w:lang w:val="zh-TW" w:eastAsia="zh-TW"/>
        </w:rPr>
        <w:t>沙盘模拟培训特点</w:t>
      </w:r>
    </w:p>
    <w:p>
      <w:pPr>
        <w:pStyle w:val="正文 A"/>
        <w:numPr>
          <w:ilvl w:val="0"/>
          <w:numId w:val="2"/>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将沙盘模拟应用在培训领域，可以大大提升课程的体验感，让学员在体验中学习，成长。沙盘模拟课程通过对实际工作场景、市场竞争环境、问题分析与解决等过程的模拟，让参与学员对课程的主旨和内容有更深度的认识。</w:t>
      </w:r>
    </w:p>
    <w:p>
      <w:pPr>
        <w:pStyle w:val="正文 A"/>
        <w:numPr>
          <w:ilvl w:val="0"/>
          <w:numId w:val="2"/>
        </w:numPr>
        <w:spacing w:line="312" w:lineRule="auto"/>
        <w:rPr>
          <w:lang w:val="zh-TW" w:eastAsia="zh-TW"/>
        </w:rPr>
      </w:pPr>
      <w:r>
        <w:rPr>
          <w:rtl w:val="0"/>
          <w:lang w:val="zh-TW" w:eastAsia="zh-TW"/>
        </w:rPr>
        <w:t>沙盘模拟课程是一种实战型培训，沙盘的设计逻辑源自实战场景的抽象化概括和总结。同时，沙盘模拟课程的数据和发展也来自于实际行业的研究报告和分析结果。</w:t>
      </w:r>
    </w:p>
    <w:p>
      <w:pPr>
        <w:pStyle w:val="正文 A"/>
        <w:numPr>
          <w:ilvl w:val="0"/>
          <w:numId w:val="2"/>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沙盘模拟课程最大限度的让学员将自己的思维、习惯、认知显现出来，通过沙盘的推演，每一轮都有及时的反馈，通过模拟的试错，让学员感受到自己的思维、习惯、认知不完善的地方，符合成年人的学习方式：</w:t>
      </w:r>
      <w:r>
        <w:rPr>
          <w:rFonts w:ascii="Helvetica Neue" w:hAnsi="Helvetica Neue"/>
          <w:rtl w:val="0"/>
          <w:lang w:val="zh-TW" w:eastAsia="zh-TW"/>
        </w:rPr>
        <w:t>10%</w:t>
      </w:r>
      <w:r>
        <w:rPr>
          <w:rFonts w:eastAsia="Arial Unicode MS" w:hint="eastAsia"/>
          <w:rtl w:val="0"/>
          <w:lang w:val="zh-TW" w:eastAsia="zh-TW"/>
        </w:rPr>
        <w:t>来自于读到、</w:t>
      </w:r>
      <w:r>
        <w:rPr>
          <w:rFonts w:ascii="Helvetica Neue" w:hAnsi="Helvetica Neue"/>
          <w:rtl w:val="0"/>
          <w:lang w:val="zh-TW" w:eastAsia="zh-TW"/>
        </w:rPr>
        <w:t>20%</w:t>
      </w:r>
      <w:r>
        <w:rPr>
          <w:rFonts w:eastAsia="Arial Unicode MS" w:hint="eastAsia"/>
          <w:rtl w:val="0"/>
          <w:lang w:val="zh-TW" w:eastAsia="zh-TW"/>
        </w:rPr>
        <w:t>来自于听到、</w:t>
      </w:r>
      <w:r>
        <w:rPr>
          <w:rFonts w:ascii="Helvetica Neue" w:hAnsi="Helvetica Neue"/>
          <w:rtl w:val="0"/>
          <w:lang w:val="zh-TW" w:eastAsia="zh-TW"/>
        </w:rPr>
        <w:t>70%</w:t>
      </w:r>
      <w:r>
        <w:rPr>
          <w:rFonts w:eastAsia="Arial Unicode MS" w:hint="eastAsia"/>
          <w:rtl w:val="0"/>
          <w:lang w:val="zh-TW" w:eastAsia="zh-TW"/>
        </w:rPr>
        <w:t>来自于对错误的反思。</w:t>
      </w:r>
    </w:p>
    <w:p>
      <w:pPr>
        <w:pStyle w:val="正文 A"/>
        <w:spacing w:line="312" w:lineRule="auto"/>
        <w:rPr>
          <w:rFonts w:ascii="Helvetica Neue" w:cs="Helvetica Neue" w:hAnsi="Helvetica Neue" w:eastAsia="Helvetica Neue"/>
          <w:b w:val="1"/>
          <w:bCs w:val="1"/>
        </w:rPr>
      </w:pPr>
      <w:r>
        <w:rPr>
          <w:rtl w:val="0"/>
          <w:lang w:val="zh-TW" w:eastAsia="zh-TW"/>
        </w:rPr>
        <w:t>适合行业及适合对象</w:t>
      </w:r>
    </w:p>
    <w:p>
      <w:pPr>
        <w:pStyle w:val="正文 A"/>
        <w:numPr>
          <w:ilvl w:val="0"/>
          <w:numId w:val="2"/>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企业中高层管理者、央</w:t>
      </w:r>
      <w:r>
        <w:rPr>
          <w:rFonts w:ascii="Helvetica Neue" w:hAnsi="Helvetica Neue"/>
          <w:rtl w:val="0"/>
          <w:lang w:val="zh-TW" w:eastAsia="zh-TW"/>
        </w:rPr>
        <w:t>/</w:t>
      </w:r>
      <w:r>
        <w:rPr>
          <w:rFonts w:eastAsia="Arial Unicode MS" w:hint="eastAsia"/>
          <w:rtl w:val="0"/>
          <w:lang w:val="zh-TW" w:eastAsia="zh-TW"/>
        </w:rPr>
        <w:t>国企党务工作者、公司骨干员工培训。</w:t>
      </w:r>
    </w:p>
    <w:p>
      <w:pPr>
        <w:pStyle w:val="正文 A"/>
        <w:spacing w:line="312" w:lineRule="auto"/>
        <w:ind w:firstLine="454"/>
      </w:pPr>
    </w:p>
    <w:p>
      <w:pPr>
        <w:pStyle w:val="正文 A"/>
        <w:spacing w:line="312" w:lineRule="auto"/>
      </w:pPr>
      <w:r>
        <w:rPr>
          <w:sz w:val="32"/>
          <w:szCs w:val="32"/>
          <w:rtl w:val="0"/>
          <w:lang w:val="zh-TW" w:eastAsia="zh-TW"/>
        </w:rPr>
        <w:t>课程收益</w:t>
      </w:r>
      <w:r>
        <mc:AlternateContent>
          <mc:Choice Requires="wps">
            <w:drawing xmlns:a="http://schemas.openxmlformats.org/drawingml/2006/main">
              <wp:anchor distT="0" distB="0" distL="0" distR="0" simplePos="0" relativeHeight="251662336" behindDoc="0" locked="0" layoutInCell="1" allowOverlap="1">
                <wp:simplePos x="0" y="0"/>
                <wp:positionH relativeFrom="page">
                  <wp:posOffset>745489</wp:posOffset>
                </wp:positionH>
                <wp:positionV relativeFrom="line">
                  <wp:posOffset>271860</wp:posOffset>
                </wp:positionV>
                <wp:extent cx="6120058" cy="0"/>
                <wp:effectExtent l="0" t="0" r="0" b="0"/>
                <wp:wrapTopAndBottom distT="0" distB="0"/>
                <wp:docPr id="1073741828" name="officeArt object" descr="线条"/>
                <wp:cNvGraphicFramePr/>
                <a:graphic xmlns:a="http://schemas.openxmlformats.org/drawingml/2006/main">
                  <a:graphicData uri="http://schemas.microsoft.com/office/word/2010/wordprocessingShape">
                    <wps:wsp>
                      <wps:cNvSpPr/>
                      <wps:spPr>
                        <a:xfrm>
                          <a:off x="0" y="0"/>
                          <a:ext cx="6120058" cy="0"/>
                        </a:xfrm>
                        <a:prstGeom prst="line">
                          <a:avLst/>
                        </a:prstGeom>
                        <a:noFill/>
                        <a:ln w="25400" cap="flat">
                          <a:solidFill>
                            <a:srgbClr val="000000"/>
                          </a:solidFill>
                          <a:prstDash val="solid"/>
                          <a:miter lim="400000"/>
                        </a:ln>
                        <a:effectLst/>
                      </wps:spPr>
                      <wps:bodyPr/>
                    </wps:wsp>
                  </a:graphicData>
                </a:graphic>
              </wp:anchor>
            </w:drawing>
          </mc:Choice>
          <mc:Fallback>
            <w:pict>
              <v:line id="_x0000_s1028" style="visibility:visible;position:absolute;margin-left:58.7pt;margin-top:21.4pt;width:481.9pt;height:0.0pt;z-index:251662336;mso-position-horizontal:absolute;mso-position-horizontal-relative:page;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page"/>
              </v:line>
            </w:pict>
          </mc:Fallback>
        </mc:AlternateContent>
      </w:r>
    </w:p>
    <w:p>
      <w:pPr>
        <w:pStyle w:val="正文 A"/>
        <w:numPr>
          <w:ilvl w:val="0"/>
          <w:numId w:val="4"/>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通过沙盘推演，学习</w:t>
      </w:r>
      <w:r>
        <w:rPr>
          <w:rFonts w:ascii="Helvetica Neue" w:hAnsi="Helvetica Neue" w:hint="default"/>
          <w:rtl w:val="0"/>
          <w:lang w:val="zh-TW" w:eastAsia="zh-TW"/>
        </w:rPr>
        <w:t>“</w:t>
      </w:r>
      <w:r>
        <w:rPr>
          <w:rFonts w:eastAsia="Arial Unicode MS" w:hint="eastAsia"/>
          <w:rtl w:val="0"/>
          <w:lang w:val="zh-TW" w:eastAsia="zh-TW"/>
        </w:rPr>
        <w:t>高质量发展</w:t>
      </w:r>
      <w:r>
        <w:rPr>
          <w:rFonts w:ascii="Helvetica Neue" w:hAnsi="Helvetica Neue" w:hint="default"/>
          <w:rtl w:val="0"/>
          <w:lang w:val="zh-TW" w:eastAsia="zh-TW"/>
        </w:rPr>
        <w:t>”</w:t>
      </w:r>
      <w:r>
        <w:rPr>
          <w:rFonts w:eastAsia="Arial Unicode MS" w:hint="eastAsia"/>
          <w:rtl w:val="0"/>
          <w:lang w:val="zh-TW" w:eastAsia="zh-TW"/>
        </w:rPr>
        <w:t>的核心理念，提升组织领导力。</w:t>
      </w:r>
    </w:p>
    <w:p>
      <w:pPr>
        <w:pStyle w:val="正文 A"/>
        <w:numPr>
          <w:ilvl w:val="0"/>
          <w:numId w:val="4"/>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在企业运营中通过高质量发展的理念，指导创新。</w:t>
      </w:r>
    </w:p>
    <w:p>
      <w:pPr>
        <w:pStyle w:val="正文 A"/>
        <w:numPr>
          <w:ilvl w:val="0"/>
          <w:numId w:val="4"/>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通过大量的案例分享，加深</w:t>
      </w:r>
      <w:r>
        <w:rPr>
          <w:rFonts w:ascii="Helvetica Neue" w:hAnsi="Helvetica Neue" w:hint="default"/>
          <w:rtl w:val="0"/>
          <w:lang w:val="zh-TW" w:eastAsia="zh-TW"/>
        </w:rPr>
        <w:t>“</w:t>
      </w:r>
      <w:r>
        <w:rPr>
          <w:rFonts w:eastAsia="Arial Unicode MS" w:hint="eastAsia"/>
          <w:rtl w:val="0"/>
          <w:lang w:val="zh-TW" w:eastAsia="zh-TW"/>
        </w:rPr>
        <w:t>中国式现代化</w:t>
      </w:r>
      <w:r>
        <w:rPr>
          <w:rFonts w:ascii="Helvetica Neue" w:hAnsi="Helvetica Neue" w:hint="default"/>
          <w:rtl w:val="0"/>
          <w:lang w:val="zh-TW" w:eastAsia="zh-TW"/>
        </w:rPr>
        <w:t>”</w:t>
      </w:r>
      <w:r>
        <w:rPr>
          <w:rFonts w:eastAsia="Arial Unicode MS" w:hint="eastAsia"/>
          <w:rtl w:val="0"/>
          <w:lang w:val="zh-TW" w:eastAsia="zh-TW"/>
        </w:rPr>
        <w:t>一定会实现的信念，从中学习领导力与追随力的组合关系。</w:t>
      </w:r>
    </w:p>
    <w:p>
      <w:pPr>
        <w:pStyle w:val="正文 A"/>
        <w:numPr>
          <w:ilvl w:val="0"/>
          <w:numId w:val="4"/>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通过分组体验，组间互动，加深团队成员之间的了解与融合。</w:t>
      </w:r>
    </w:p>
    <w:p>
      <w:pPr>
        <w:pStyle w:val="正文 A"/>
        <w:spacing w:line="312" w:lineRule="auto"/>
        <w:ind w:firstLine="454"/>
      </w:pPr>
    </w:p>
    <w:p>
      <w:pPr>
        <w:pStyle w:val="正文 A"/>
        <w:spacing w:line="312" w:lineRule="auto"/>
        <w:ind w:firstLine="454"/>
      </w:pPr>
    </w:p>
    <w:p>
      <w:pPr>
        <w:pStyle w:val="正文 A"/>
        <w:spacing w:line="312" w:lineRule="auto"/>
        <w:ind w:firstLine="454"/>
        <w:rPr>
          <w:rFonts w:ascii="Helvetica Neue" w:cs="Helvetica Neue" w:hAnsi="Helvetica Neue" w:eastAsia="Helvetica Neue"/>
          <w:sz w:val="24"/>
          <w:szCs w:val="24"/>
        </w:rPr>
      </w:pPr>
    </w:p>
    <w:p>
      <w:pPr>
        <w:pStyle w:val="正文 A"/>
        <w:spacing w:line="312" w:lineRule="auto"/>
        <w:rPr>
          <w:rFonts w:ascii="Helvetica Neue" w:cs="Helvetica Neue" w:hAnsi="Helvetica Neue" w:eastAsia="Helvetica Neue"/>
          <w:sz w:val="32"/>
          <w:szCs w:val="32"/>
        </w:rPr>
      </w:pPr>
      <w:r>
        <w:rPr>
          <w:sz w:val="32"/>
          <w:szCs w:val="32"/>
          <w:rtl w:val="0"/>
          <w:lang w:val="zh-TW" w:eastAsia="zh-TW"/>
        </w:rPr>
        <w:t>课程大纲</w:t>
      </w:r>
      <w:r>
        <w:rPr>
          <w:sz w:val="32"/>
          <w:szCs w:val="32"/>
        </w:rPr>
        <mc:AlternateContent>
          <mc:Choice Requires="wps">
            <w:drawing xmlns:a="http://schemas.openxmlformats.org/drawingml/2006/main">
              <wp:anchor distT="0" distB="0" distL="0" distR="0" simplePos="0" relativeHeight="251661312" behindDoc="0" locked="0" layoutInCell="1" allowOverlap="1">
                <wp:simplePos x="0" y="0"/>
                <wp:positionH relativeFrom="page">
                  <wp:posOffset>745489</wp:posOffset>
                </wp:positionH>
                <wp:positionV relativeFrom="line">
                  <wp:posOffset>297919</wp:posOffset>
                </wp:positionV>
                <wp:extent cx="6120058" cy="0"/>
                <wp:effectExtent l="0" t="0" r="0" b="0"/>
                <wp:wrapTopAndBottom distT="0" distB="0"/>
                <wp:docPr id="1073741829" name="officeArt object" descr="线条"/>
                <wp:cNvGraphicFramePr/>
                <a:graphic xmlns:a="http://schemas.openxmlformats.org/drawingml/2006/main">
                  <a:graphicData uri="http://schemas.microsoft.com/office/word/2010/wordprocessingShape">
                    <wps:wsp>
                      <wps:cNvSpPr/>
                      <wps:spPr>
                        <a:xfrm>
                          <a:off x="0" y="0"/>
                          <a:ext cx="6120058" cy="0"/>
                        </a:xfrm>
                        <a:prstGeom prst="line">
                          <a:avLst/>
                        </a:prstGeom>
                        <a:noFill/>
                        <a:ln w="25400" cap="flat">
                          <a:solidFill>
                            <a:srgbClr val="000000"/>
                          </a:solidFill>
                          <a:prstDash val="solid"/>
                          <a:miter lim="400000"/>
                        </a:ln>
                        <a:effectLst/>
                      </wps:spPr>
                      <wps:bodyPr/>
                    </wps:wsp>
                  </a:graphicData>
                </a:graphic>
              </wp:anchor>
            </w:drawing>
          </mc:Choice>
          <mc:Fallback>
            <w:pict>
              <v:line id="_x0000_s1029" style="visibility:visible;position:absolute;margin-left:58.7pt;margin-top:23.5pt;width:481.9pt;height:0.0pt;z-index:251661312;mso-position-horizontal:absolute;mso-position-horizontal-relative:page;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page"/>
              </v:line>
            </w:pict>
          </mc:Fallback>
        </mc:AlternateContent>
      </w:r>
    </w:p>
    <w:p>
      <w:pPr>
        <w:pStyle w:val="正文 A"/>
        <w:spacing w:line="312" w:lineRule="auto"/>
        <w:jc w:val="center"/>
        <w:rPr>
          <w:rFonts w:ascii="Helvetica Neue" w:cs="Helvetica Neue" w:hAnsi="Helvetica Neue" w:eastAsia="Helvetica Neue"/>
          <w:b w:val="1"/>
          <w:bCs w:val="1"/>
          <w:sz w:val="28"/>
          <w:szCs w:val="28"/>
        </w:rPr>
      </w:pPr>
      <w:r>
        <w:rPr>
          <w:sz w:val="28"/>
          <w:szCs w:val="28"/>
          <w:rtl w:val="0"/>
          <w:lang w:val="zh-TW" w:eastAsia="zh-TW"/>
        </w:rPr>
        <w:t>第一部分</w:t>
      </w:r>
      <w:r>
        <w:rPr>
          <w:rFonts w:ascii="Helvetica Neue" w:hAnsi="Helvetica Neue"/>
          <w:b w:val="1"/>
          <w:bCs w:val="1"/>
          <w:sz w:val="28"/>
          <w:szCs w:val="28"/>
          <w:rtl w:val="0"/>
          <w:lang w:val="zh-TW" w:eastAsia="zh-TW"/>
        </w:rPr>
        <w:t>:</w:t>
      </w:r>
      <w:r>
        <w:rPr>
          <w:sz w:val="28"/>
          <w:szCs w:val="28"/>
          <w:rtl w:val="0"/>
          <w:lang w:val="zh-TW" w:eastAsia="zh-TW"/>
        </w:rPr>
        <w:t>课程导入</w:t>
      </w:r>
    </w:p>
    <w:p>
      <w:pPr>
        <w:pStyle w:val="正文 A"/>
        <w:spacing w:line="312" w:lineRule="auto"/>
        <w:rPr>
          <w:rFonts w:ascii="Helvetica Neue" w:cs="Helvetica Neue" w:hAnsi="Helvetica Neue" w:eastAsia="Helvetica Neue"/>
          <w:b w:val="1"/>
          <w:bCs w:val="1"/>
        </w:rPr>
      </w:pPr>
      <w:r>
        <w:rPr>
          <w:rtl w:val="0"/>
          <w:lang w:val="zh-TW" w:eastAsia="zh-TW"/>
        </w:rPr>
        <w:t>从二十大报告看</w:t>
      </w:r>
      <w:r>
        <w:rPr>
          <w:rFonts w:ascii="Helvetica Neue" w:hAnsi="Helvetica Neue" w:hint="default"/>
          <w:b w:val="1"/>
          <w:bCs w:val="1"/>
          <w:rtl w:val="0"/>
          <w:lang w:val="zh-TW" w:eastAsia="zh-TW"/>
        </w:rPr>
        <w:t>“</w:t>
      </w:r>
      <w:r>
        <w:rPr>
          <w:rtl w:val="0"/>
          <w:lang w:val="zh-TW" w:eastAsia="zh-TW"/>
        </w:rPr>
        <w:t>高质量发展</w:t>
      </w:r>
      <w:r>
        <w:rPr>
          <w:rFonts w:ascii="Helvetica Neue" w:hAnsi="Helvetica Neue" w:hint="default"/>
          <w:b w:val="1"/>
          <w:bCs w:val="1"/>
          <w:rtl w:val="0"/>
          <w:lang w:val="zh-TW" w:eastAsia="zh-TW"/>
        </w:rPr>
        <w:t>”</w:t>
      </w:r>
      <w:r>
        <w:rPr>
          <w:rtl w:val="0"/>
          <w:lang w:val="zh-TW" w:eastAsia="zh-TW"/>
        </w:rPr>
        <w:t>与组织中的领导力提升：</w:t>
      </w:r>
    </w:p>
    <w:p>
      <w:pPr>
        <w:pStyle w:val="正文 A"/>
        <w:numPr>
          <w:ilvl w:val="0"/>
          <w:numId w:val="5"/>
        </w:numPr>
        <w:bidi w:val="0"/>
        <w:spacing w:line="312" w:lineRule="auto"/>
        <w:ind w:right="0"/>
        <w:jc w:val="left"/>
        <w:rPr>
          <w:rFonts w:eastAsia="Helvetica Neue" w:hint="eastAsia"/>
          <w:b w:val="1"/>
          <w:bCs w:val="1"/>
          <w:rtl w:val="0"/>
          <w:lang w:val="zh-TW" w:eastAsia="zh-TW"/>
        </w:rPr>
      </w:pPr>
      <w:r>
        <w:rPr>
          <w:rFonts w:eastAsia="Arial Unicode MS" w:hint="eastAsia"/>
          <w:b w:val="0"/>
          <w:bCs w:val="0"/>
          <w:rtl w:val="0"/>
          <w:lang w:val="zh-TW" w:eastAsia="zh-TW"/>
        </w:rPr>
        <w:t>使命任务：以中国式现代化全面推进中华民族伟大复兴；</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团队中的使命感的建立过程</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在目标的引领下坚定执行</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在宏大的愿景下建立共识的组织</w:t>
      </w:r>
    </w:p>
    <w:p>
      <w:pPr>
        <w:pStyle w:val="正文 A"/>
        <w:numPr>
          <w:ilvl w:val="0"/>
          <w:numId w:val="7"/>
        </w:numPr>
        <w:bidi w:val="0"/>
        <w:spacing w:line="312" w:lineRule="auto"/>
        <w:ind w:right="0"/>
        <w:jc w:val="left"/>
        <w:rPr>
          <w:rFonts w:eastAsia="Helvetica Neue" w:hint="eastAsia"/>
          <w:b w:val="1"/>
          <w:bCs w:val="1"/>
          <w:rtl w:val="0"/>
          <w:lang w:val="zh-TW" w:eastAsia="zh-TW"/>
        </w:rPr>
      </w:pPr>
      <w:r>
        <w:rPr>
          <w:rFonts w:eastAsia="Arial Unicode MS" w:hint="eastAsia"/>
          <w:b w:val="0"/>
          <w:bCs w:val="0"/>
          <w:rtl w:val="0"/>
          <w:lang w:val="zh-TW" w:eastAsia="zh-TW"/>
        </w:rPr>
        <w:t>加快构建新发展格局，着力推动高质量发展；</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组织中的创新来源于全面的认知升级和战略意识的提升</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创新的紧迫感和动力来源</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高质量发展的案例分享</w:t>
      </w:r>
    </w:p>
    <w:p>
      <w:pPr>
        <w:pStyle w:val="正文 A"/>
        <w:numPr>
          <w:ilvl w:val="0"/>
          <w:numId w:val="8"/>
        </w:numPr>
        <w:bidi w:val="0"/>
        <w:spacing w:line="312" w:lineRule="auto"/>
        <w:ind w:right="0"/>
        <w:jc w:val="left"/>
        <w:rPr>
          <w:rFonts w:eastAsia="Helvetica Neue" w:hint="eastAsia"/>
          <w:b w:val="1"/>
          <w:bCs w:val="1"/>
          <w:rtl w:val="0"/>
          <w:lang w:val="zh-TW" w:eastAsia="zh-TW"/>
        </w:rPr>
      </w:pPr>
      <w:r>
        <w:rPr>
          <w:rFonts w:eastAsia="Arial Unicode MS" w:hint="eastAsia"/>
          <w:b w:val="0"/>
          <w:bCs w:val="0"/>
          <w:rtl w:val="0"/>
          <w:lang w:val="zh-TW" w:eastAsia="zh-TW"/>
        </w:rPr>
        <w:t>实施科教兴国战略，强化现代化建设人才支撑；</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组织中人才梯队建设</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新时代人才发展模式</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对组织的</w:t>
      </w:r>
      <w:r>
        <w:rPr>
          <w:rFonts w:ascii="Helvetica Neue" w:hAnsi="Helvetica Neue" w:hint="default"/>
          <w:rtl w:val="0"/>
          <w:lang w:val="zh-TW" w:eastAsia="zh-TW"/>
        </w:rPr>
        <w:t>“</w:t>
      </w:r>
      <w:r>
        <w:rPr>
          <w:rFonts w:eastAsia="Arial Unicode MS" w:hint="eastAsia"/>
          <w:rtl w:val="0"/>
          <w:lang w:val="zh-TW" w:eastAsia="zh-TW"/>
        </w:rPr>
        <w:t>生命阶段</w:t>
      </w:r>
      <w:r>
        <w:rPr>
          <w:rFonts w:ascii="Helvetica Neue" w:hAnsi="Helvetica Neue" w:hint="default"/>
          <w:rtl w:val="0"/>
          <w:lang w:val="zh-TW" w:eastAsia="zh-TW"/>
        </w:rPr>
        <w:t>”</w:t>
      </w:r>
      <w:r>
        <w:rPr>
          <w:rFonts w:eastAsia="Arial Unicode MS" w:hint="eastAsia"/>
          <w:rtl w:val="0"/>
          <w:lang w:val="zh-TW" w:eastAsia="zh-TW"/>
        </w:rPr>
        <w:t>精准判断，培养</w:t>
      </w:r>
      <w:r>
        <w:rPr>
          <w:rFonts w:ascii="Helvetica Neue" w:hAnsi="Helvetica Neue"/>
          <w:rtl w:val="0"/>
          <w:lang w:val="zh-TW" w:eastAsia="zh-TW"/>
        </w:rPr>
        <w:t>PAEI</w:t>
      </w:r>
      <w:r>
        <w:rPr>
          <w:rFonts w:eastAsia="Arial Unicode MS" w:hint="eastAsia"/>
          <w:rtl w:val="0"/>
          <w:lang w:val="zh-TW" w:eastAsia="zh-TW"/>
        </w:rPr>
        <w:t>组合的</w:t>
      </w:r>
      <w:r>
        <w:rPr>
          <w:rFonts w:ascii="Helvetica Neue" w:hAnsi="Helvetica Neue" w:hint="default"/>
          <w:rtl w:val="0"/>
          <w:lang w:val="zh-TW" w:eastAsia="zh-TW"/>
        </w:rPr>
        <w:t>“</w:t>
      </w:r>
      <w:r>
        <w:rPr>
          <w:rFonts w:eastAsia="Arial Unicode MS" w:hint="eastAsia"/>
          <w:rtl w:val="0"/>
          <w:lang w:val="zh-TW" w:eastAsia="zh-TW"/>
        </w:rPr>
        <w:t>完美</w:t>
      </w:r>
      <w:r>
        <w:rPr>
          <w:rFonts w:ascii="Helvetica Neue" w:hAnsi="Helvetica Neue" w:hint="default"/>
          <w:rtl w:val="0"/>
          <w:lang w:val="zh-TW" w:eastAsia="zh-TW"/>
        </w:rPr>
        <w:t>”</w:t>
      </w:r>
      <w:r>
        <w:rPr>
          <w:rFonts w:eastAsia="Arial Unicode MS" w:hint="eastAsia"/>
          <w:rtl w:val="0"/>
          <w:lang w:val="zh-TW" w:eastAsia="zh-TW"/>
        </w:rPr>
        <w:t>管理团队</w:t>
      </w:r>
    </w:p>
    <w:p>
      <w:pPr>
        <w:pStyle w:val="正文 A"/>
        <w:spacing w:line="312" w:lineRule="auto"/>
        <w:rPr>
          <w:rFonts w:ascii="Helvetica Neue" w:cs="Helvetica Neue" w:hAnsi="Helvetica Neue" w:eastAsia="Helvetica Neue"/>
          <w:b w:val="1"/>
          <w:bCs w:val="1"/>
        </w:rPr>
      </w:pPr>
    </w:p>
    <w:p>
      <w:pPr>
        <w:pStyle w:val="正文 A"/>
        <w:spacing w:line="312" w:lineRule="auto"/>
        <w:rPr>
          <w:rFonts w:ascii="Helvetica Neue" w:cs="Helvetica Neue" w:hAnsi="Helvetica Neue" w:eastAsia="Helvetica Neue"/>
          <w:b w:val="1"/>
          <w:bCs w:val="1"/>
        </w:rPr>
      </w:pPr>
    </w:p>
    <w:p>
      <w:pPr>
        <w:pStyle w:val="正文 A"/>
        <w:spacing w:line="312" w:lineRule="auto"/>
        <w:rPr>
          <w:rFonts w:ascii="Helvetica Neue" w:cs="Helvetica Neue" w:hAnsi="Helvetica Neue" w:eastAsia="Helvetica Neue"/>
          <w:b w:val="1"/>
          <w:bCs w:val="1"/>
        </w:rPr>
      </w:pPr>
    </w:p>
    <w:p>
      <w:pPr>
        <w:pStyle w:val="正文 A"/>
        <w:spacing w:line="312" w:lineRule="auto"/>
        <w:rPr>
          <w:rFonts w:ascii="Helvetica Neue" w:cs="Helvetica Neue" w:hAnsi="Helvetica Neue" w:eastAsia="Helvetica Neue"/>
          <w:b w:val="1"/>
          <w:bCs w:val="1"/>
        </w:rPr>
      </w:pPr>
    </w:p>
    <w:p>
      <w:pPr>
        <w:pStyle w:val="正文 A"/>
        <w:spacing w:line="312" w:lineRule="auto"/>
        <w:rPr>
          <w:rFonts w:ascii="Helvetica Neue" w:cs="Helvetica Neue" w:hAnsi="Helvetica Neue" w:eastAsia="Helvetica Neue"/>
          <w:b w:val="1"/>
          <w:bCs w:val="1"/>
        </w:rPr>
      </w:pPr>
    </w:p>
    <w:p>
      <w:pPr>
        <w:pStyle w:val="正文 A"/>
        <w:spacing w:line="312" w:lineRule="auto"/>
        <w:jc w:val="center"/>
        <w:rPr>
          <w:rFonts w:ascii="Helvetica Neue" w:cs="Helvetica Neue" w:hAnsi="Helvetica Neue" w:eastAsia="Helvetica Neue"/>
          <w:b w:val="1"/>
          <w:bCs w:val="1"/>
          <w:sz w:val="28"/>
          <w:szCs w:val="28"/>
        </w:rPr>
      </w:pPr>
      <w:r>
        <w:rPr>
          <w:sz w:val="28"/>
          <w:szCs w:val="28"/>
          <w:rtl w:val="0"/>
          <w:lang w:val="zh-TW" w:eastAsia="zh-TW"/>
        </w:rPr>
        <w:t>第二部分</w:t>
      </w:r>
      <w:r>
        <w:rPr>
          <w:rFonts w:ascii="Helvetica Neue" w:hAnsi="Helvetica Neue"/>
          <w:b w:val="1"/>
          <w:bCs w:val="1"/>
          <w:sz w:val="28"/>
          <w:szCs w:val="28"/>
          <w:rtl w:val="0"/>
          <w:lang w:val="zh-TW" w:eastAsia="zh-TW"/>
        </w:rPr>
        <w:t>:</w:t>
      </w:r>
      <w:r>
        <w:rPr>
          <w:sz w:val="28"/>
          <w:szCs w:val="28"/>
          <w:rtl w:val="0"/>
          <w:lang w:val="zh-TW" w:eastAsia="zh-TW"/>
        </w:rPr>
        <w:t>沙盘推演</w:t>
      </w:r>
    </w:p>
    <w:p>
      <w:pPr>
        <w:pStyle w:val="正文 A"/>
        <w:spacing w:line="312" w:lineRule="auto"/>
        <w:rPr>
          <w:rFonts w:ascii="Helvetica Neue" w:cs="Helvetica Neue" w:hAnsi="Helvetica Neue" w:eastAsia="Helvetica Neue"/>
          <w:b w:val="1"/>
          <w:bCs w:val="1"/>
        </w:rPr>
      </w:pPr>
      <w:r>
        <w:rPr>
          <w:rtl w:val="0"/>
          <w:lang w:val="zh-TW" w:eastAsia="zh-TW"/>
        </w:rPr>
        <w:t>第一阶段：</w:t>
      </w:r>
      <w:r>
        <w:rPr>
          <w:rFonts w:ascii="Helvetica Neue" w:hAnsi="Helvetica Neue"/>
          <w:b w:val="1"/>
          <w:bCs w:val="1"/>
          <w:rtl w:val="0"/>
          <w:lang w:val="zh-TW" w:eastAsia="zh-TW"/>
        </w:rPr>
        <w:t>1</w:t>
      </w:r>
      <w:r>
        <w:rPr>
          <w:rtl w:val="0"/>
          <w:lang w:val="zh-TW" w:eastAsia="zh-TW"/>
        </w:rPr>
        <w:t>～</w:t>
      </w:r>
      <w:r>
        <w:rPr>
          <w:rFonts w:ascii="Helvetica Neue" w:hAnsi="Helvetica Neue"/>
          <w:b w:val="1"/>
          <w:bCs w:val="1"/>
          <w:rtl w:val="0"/>
          <w:lang w:val="zh-TW" w:eastAsia="zh-TW"/>
        </w:rPr>
        <w:t>3</w:t>
      </w:r>
      <w:r>
        <w:rPr>
          <w:rtl w:val="0"/>
          <w:lang w:val="zh-TW" w:eastAsia="zh-TW"/>
        </w:rPr>
        <w:t>轮</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讲解规则模拟推演</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角色划分：党建引领、科研创新、产业升级、协同发展、教育人才支撑、环境保护、文化自信。</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关键资源：引擎动力币、发展人才、科研专家、产线工人等。</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市场分析：改革开放初期的发展状态和近</w:t>
      </w:r>
      <w:r>
        <w:rPr>
          <w:rFonts w:ascii="Helvetica Neue" w:hAnsi="Helvetica Neue"/>
          <w:rtl w:val="0"/>
          <w:lang w:val="zh-TW" w:eastAsia="zh-TW"/>
        </w:rPr>
        <w:t>20</w:t>
      </w:r>
      <w:r>
        <w:rPr>
          <w:rFonts w:eastAsia="Arial Unicode MS" w:hint="eastAsia"/>
          <w:rtl w:val="0"/>
          <w:lang w:val="zh-TW" w:eastAsia="zh-TW"/>
        </w:rPr>
        <w:t>年的发展状态对比。</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战略决策：市场方针、经营目标、人力资源开发等。</w:t>
      </w:r>
    </w:p>
    <w:p>
      <w:pPr>
        <w:pStyle w:val="正文 A"/>
        <w:spacing w:line="312" w:lineRule="auto"/>
        <w:rPr>
          <w:rFonts w:ascii="Helvetica Neue" w:cs="Helvetica Neue" w:hAnsi="Helvetica Neue" w:eastAsia="Helvetica Neue"/>
          <w:b w:val="1"/>
          <w:bCs w:val="1"/>
        </w:rPr>
      </w:pPr>
      <w:r>
        <w:rPr>
          <w:rtl w:val="0"/>
          <w:lang w:val="zh-TW" w:eastAsia="zh-TW"/>
        </w:rPr>
        <w:t>一阶段分享主题：从高质量发展的前提条件看领导者基础素养</w:t>
      </w:r>
    </w:p>
    <w:p>
      <w:pPr>
        <w:pStyle w:val="正文 A"/>
        <w:numPr>
          <w:ilvl w:val="0"/>
          <w:numId w:val="9"/>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目标明确。</w:t>
      </w:r>
    </w:p>
    <w:p>
      <w:pPr>
        <w:pStyle w:val="正文 A"/>
        <w:numPr>
          <w:ilvl w:val="0"/>
          <w:numId w:val="5"/>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角色清晰。</w:t>
      </w:r>
    </w:p>
    <w:p>
      <w:pPr>
        <w:pStyle w:val="正文 A"/>
        <w:numPr>
          <w:ilvl w:val="0"/>
          <w:numId w:val="5"/>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认知同频。</w:t>
      </w:r>
    </w:p>
    <w:p>
      <w:pPr>
        <w:pStyle w:val="正文 A"/>
        <w:numPr>
          <w:ilvl w:val="0"/>
          <w:numId w:val="5"/>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轻重合理。</w:t>
      </w:r>
    </w:p>
    <w:p>
      <w:pPr>
        <w:pStyle w:val="正文 A"/>
        <w:numPr>
          <w:ilvl w:val="0"/>
          <w:numId w:val="5"/>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团队合作。</w:t>
      </w:r>
    </w:p>
    <w:p>
      <w:pPr>
        <w:pStyle w:val="正文 A"/>
        <w:spacing w:line="312" w:lineRule="auto"/>
      </w:pPr>
    </w:p>
    <w:p>
      <w:pPr>
        <w:pStyle w:val="正文 A"/>
        <w:spacing w:line="312" w:lineRule="auto"/>
        <w:rPr>
          <w:rFonts w:ascii="Helvetica Neue" w:cs="Helvetica Neue" w:hAnsi="Helvetica Neue" w:eastAsia="Helvetica Neue"/>
          <w:b w:val="1"/>
          <w:bCs w:val="1"/>
        </w:rPr>
      </w:pPr>
      <w:r>
        <w:rPr>
          <w:rtl w:val="0"/>
          <w:lang w:val="zh-TW" w:eastAsia="zh-TW"/>
        </w:rPr>
        <w:t>第二阶段：</w:t>
      </w:r>
      <w:r>
        <w:rPr>
          <w:rFonts w:ascii="Helvetica Neue" w:hAnsi="Helvetica Neue"/>
          <w:b w:val="1"/>
          <w:bCs w:val="1"/>
          <w:rtl w:val="0"/>
          <w:lang w:val="zh-TW" w:eastAsia="zh-TW"/>
        </w:rPr>
        <w:t>4</w:t>
      </w:r>
      <w:r>
        <w:rPr>
          <w:rtl w:val="0"/>
          <w:lang w:val="zh-TW" w:eastAsia="zh-TW"/>
        </w:rPr>
        <w:t>～</w:t>
      </w:r>
      <w:r>
        <w:rPr>
          <w:rFonts w:ascii="Helvetica Neue" w:hAnsi="Helvetica Neue"/>
          <w:b w:val="1"/>
          <w:bCs w:val="1"/>
          <w:rtl w:val="0"/>
          <w:lang w:val="zh-TW" w:eastAsia="zh-TW"/>
        </w:rPr>
        <w:t>6</w:t>
      </w:r>
      <w:r>
        <w:rPr>
          <w:rtl w:val="0"/>
          <w:lang w:val="zh-TW" w:eastAsia="zh-TW"/>
        </w:rPr>
        <w:t>轮</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熟练掌握规则，顺畅推演</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组织的追随力和领导力之间的相互作用关系</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目标推动的组织驱动力来源</w:t>
      </w:r>
    </w:p>
    <w:p>
      <w:pPr>
        <w:pStyle w:val="正文 A"/>
        <w:spacing w:line="312" w:lineRule="auto"/>
        <w:rPr>
          <w:rFonts w:ascii="Helvetica Neue" w:cs="Helvetica Neue" w:hAnsi="Helvetica Neue" w:eastAsia="Helvetica Neue"/>
          <w:b w:val="1"/>
          <w:bCs w:val="1"/>
        </w:rPr>
      </w:pPr>
      <w:r>
        <w:rPr>
          <w:rtl w:val="0"/>
          <w:lang w:val="zh-TW" w:eastAsia="zh-TW"/>
        </w:rPr>
        <w:t>二阶段分享主题：从高质量发展的难题看领导者的挑战：打造团队追随力</w:t>
      </w:r>
    </w:p>
    <w:p>
      <w:pPr>
        <w:pStyle w:val="正文 A"/>
        <w:numPr>
          <w:ilvl w:val="0"/>
          <w:numId w:val="10"/>
        </w:numPr>
        <w:bidi w:val="0"/>
        <w:spacing w:line="312" w:lineRule="auto"/>
        <w:ind w:right="0"/>
        <w:jc w:val="left"/>
        <w:rPr>
          <w:rFonts w:eastAsia="Helvetica Neue" w:hint="eastAsia"/>
          <w:b w:val="1"/>
          <w:bCs w:val="1"/>
          <w:rtl w:val="0"/>
          <w:lang w:val="zh-TW" w:eastAsia="zh-TW"/>
        </w:rPr>
      </w:pPr>
      <w:r>
        <w:rPr>
          <w:rFonts w:eastAsia="Arial Unicode MS" w:hint="eastAsia"/>
          <w:b w:val="0"/>
          <w:bCs w:val="0"/>
          <w:rtl w:val="0"/>
          <w:lang w:val="zh-TW" w:eastAsia="zh-TW"/>
        </w:rPr>
        <w:t>目标分解</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目标分解的原则：整分合</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目标分解的方法：指令、协商</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目标分解的形式：纵向、横向</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目标分解的步骤：综合目标设定、目标展开、对策选定</w:t>
      </w:r>
    </w:p>
    <w:p>
      <w:pPr>
        <w:pStyle w:val="正文 A"/>
        <w:numPr>
          <w:ilvl w:val="0"/>
          <w:numId w:val="11"/>
        </w:numPr>
        <w:bidi w:val="0"/>
        <w:spacing w:line="312" w:lineRule="auto"/>
        <w:ind w:right="0"/>
        <w:jc w:val="left"/>
        <w:rPr>
          <w:rFonts w:eastAsia="Helvetica Neue" w:hint="eastAsia"/>
          <w:b w:val="1"/>
          <w:bCs w:val="1"/>
          <w:rtl w:val="0"/>
          <w:lang w:val="zh-TW" w:eastAsia="zh-TW"/>
        </w:rPr>
      </w:pPr>
      <w:r>
        <w:rPr>
          <w:rFonts w:eastAsia="Arial Unicode MS" w:hint="eastAsia"/>
          <w:b w:val="0"/>
          <w:bCs w:val="0"/>
          <w:rtl w:val="0"/>
          <w:lang w:val="zh-TW" w:eastAsia="zh-TW"/>
        </w:rPr>
        <w:t>寻找目标实现过程中的关键角色：</w:t>
      </w:r>
    </w:p>
    <w:p>
      <w:pPr>
        <w:pStyle w:val="正文 A"/>
        <w:spacing w:line="312" w:lineRule="auto"/>
        <w:rPr>
          <w:rFonts w:ascii="Microsoft YaHei" w:cs="Microsoft YaHei" w:hAnsi="Microsoft YaHei" w:eastAsia="Microsoft YaHei"/>
          <w:lang w:val="zh-TW" w:eastAsia="zh-TW"/>
        </w:rPr>
      </w:pPr>
      <w:r>
        <w:rPr>
          <w:rFonts w:ascii="Microsoft YaHei" w:hAnsi="Microsoft YaHei"/>
          <w:rtl w:val="0"/>
          <w:lang w:val="zh-TW" w:eastAsia="zh-TW"/>
        </w:rPr>
        <w:t>P</w:t>
      </w:r>
      <w:r>
        <w:rPr>
          <w:rFonts w:eastAsia="Microsoft YaHei" w:hint="eastAsia"/>
          <w:rtl w:val="0"/>
          <w:lang w:val="zh-TW" w:eastAsia="zh-TW"/>
        </w:rPr>
        <w:t>：业绩创造者</w:t>
      </w:r>
    </w:p>
    <w:p>
      <w:pPr>
        <w:pStyle w:val="正文 A"/>
        <w:spacing w:line="312" w:lineRule="auto"/>
        <w:rPr>
          <w:rFonts w:ascii="Microsoft YaHei" w:cs="Microsoft YaHei" w:hAnsi="Microsoft YaHei" w:eastAsia="Microsoft YaHei"/>
          <w:lang w:val="zh-TW" w:eastAsia="zh-TW"/>
        </w:rPr>
      </w:pPr>
      <w:r>
        <w:rPr>
          <w:rFonts w:ascii="Microsoft YaHei" w:hAnsi="Microsoft YaHei"/>
          <w:rtl w:val="0"/>
          <w:lang w:val="zh-TW" w:eastAsia="zh-TW"/>
        </w:rPr>
        <w:t>A</w:t>
      </w:r>
      <w:r>
        <w:rPr>
          <w:rFonts w:eastAsia="Microsoft YaHei" w:hint="eastAsia"/>
          <w:rtl w:val="0"/>
          <w:lang w:val="zh-TW" w:eastAsia="zh-TW"/>
        </w:rPr>
        <w:t>：流程控制者</w:t>
      </w:r>
    </w:p>
    <w:p>
      <w:pPr>
        <w:pStyle w:val="正文 A"/>
        <w:spacing w:line="312" w:lineRule="auto"/>
        <w:rPr>
          <w:rFonts w:ascii="Microsoft YaHei" w:cs="Microsoft YaHei" w:hAnsi="Microsoft YaHei" w:eastAsia="Microsoft YaHei"/>
          <w:lang w:val="zh-TW" w:eastAsia="zh-TW"/>
        </w:rPr>
      </w:pPr>
      <w:r>
        <w:rPr>
          <w:rFonts w:ascii="Microsoft YaHei" w:hAnsi="Microsoft YaHei"/>
          <w:rtl w:val="0"/>
          <w:lang w:val="zh-TW" w:eastAsia="zh-TW"/>
        </w:rPr>
        <w:t>E</w:t>
      </w:r>
      <w:r>
        <w:rPr>
          <w:rFonts w:eastAsia="Microsoft YaHei" w:hint="eastAsia"/>
          <w:rtl w:val="0"/>
          <w:lang w:val="zh-TW" w:eastAsia="zh-TW"/>
        </w:rPr>
        <w:t>：企业家精神</w:t>
      </w:r>
    </w:p>
    <w:p>
      <w:pPr>
        <w:pStyle w:val="正文 A"/>
        <w:spacing w:line="312" w:lineRule="auto"/>
        <w:rPr>
          <w:rFonts w:ascii="Microsoft YaHei" w:cs="Microsoft YaHei" w:hAnsi="Microsoft YaHei" w:eastAsia="Microsoft YaHei"/>
          <w:lang w:val="zh-TW" w:eastAsia="zh-TW"/>
        </w:rPr>
      </w:pPr>
      <w:r>
        <w:rPr>
          <w:rFonts w:ascii="Microsoft YaHei" w:hAnsi="Microsoft YaHei"/>
          <w:rtl w:val="0"/>
          <w:lang w:val="zh-TW" w:eastAsia="zh-TW"/>
        </w:rPr>
        <w:t>I</w:t>
      </w:r>
      <w:r>
        <w:rPr>
          <w:rFonts w:eastAsia="Microsoft YaHei" w:hint="eastAsia"/>
          <w:rtl w:val="0"/>
          <w:lang w:val="zh-TW" w:eastAsia="zh-TW"/>
        </w:rPr>
        <w:t>：整合者</w:t>
      </w:r>
    </w:p>
    <w:p>
      <w:pPr>
        <w:pStyle w:val="正文 A"/>
        <w:numPr>
          <w:ilvl w:val="0"/>
          <w:numId w:val="5"/>
        </w:numPr>
        <w:bidi w:val="0"/>
        <w:spacing w:line="312" w:lineRule="auto"/>
        <w:ind w:right="0"/>
        <w:jc w:val="left"/>
        <w:rPr>
          <w:rFonts w:eastAsia="Helvetica Neue" w:hint="eastAsia"/>
          <w:b w:val="1"/>
          <w:bCs w:val="1"/>
          <w:rtl w:val="0"/>
          <w:lang w:val="zh-TW" w:eastAsia="zh-TW"/>
        </w:rPr>
      </w:pPr>
      <w:r>
        <w:rPr>
          <w:rFonts w:eastAsia="Arial Unicode MS" w:hint="eastAsia"/>
          <w:b w:val="0"/>
          <w:bCs w:val="0"/>
          <w:rtl w:val="0"/>
          <w:lang w:val="zh-TW" w:eastAsia="zh-TW"/>
        </w:rPr>
        <w:t>战略眼光看人才发展</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强调组织愿景和战略目标</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分析关键能力需求</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人才盘点和继任计划</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文化和价值观</w:t>
      </w:r>
    </w:p>
    <w:p>
      <w:pPr>
        <w:pStyle w:val="正文 A"/>
        <w:spacing w:line="312" w:lineRule="auto"/>
      </w:pPr>
    </w:p>
    <w:p>
      <w:pPr>
        <w:pStyle w:val="正文 A"/>
        <w:spacing w:line="312" w:lineRule="auto"/>
      </w:pPr>
    </w:p>
    <w:p>
      <w:pPr>
        <w:pStyle w:val="正文 A"/>
        <w:spacing w:line="312" w:lineRule="auto"/>
      </w:pPr>
    </w:p>
    <w:p>
      <w:pPr>
        <w:pStyle w:val="正文 A"/>
        <w:spacing w:line="312" w:lineRule="auto"/>
        <w:rPr>
          <w:rFonts w:ascii="Helvetica Neue" w:cs="Helvetica Neue" w:hAnsi="Helvetica Neue" w:eastAsia="Helvetica Neue"/>
          <w:b w:val="1"/>
          <w:bCs w:val="1"/>
        </w:rPr>
      </w:pPr>
      <w:r>
        <w:rPr>
          <w:rtl w:val="0"/>
          <w:lang w:val="zh-TW" w:eastAsia="zh-TW"/>
        </w:rPr>
        <w:t>第三阶段：</w:t>
      </w:r>
      <w:r>
        <w:rPr>
          <w:rFonts w:ascii="Helvetica Neue" w:hAnsi="Helvetica Neue"/>
          <w:b w:val="1"/>
          <w:bCs w:val="1"/>
          <w:rtl w:val="0"/>
          <w:lang w:val="zh-TW" w:eastAsia="zh-TW"/>
        </w:rPr>
        <w:t>7</w:t>
      </w:r>
      <w:r>
        <w:rPr>
          <w:rtl w:val="0"/>
          <w:lang w:val="zh-TW" w:eastAsia="zh-TW"/>
        </w:rPr>
        <w:t>～</w:t>
      </w:r>
      <w:r>
        <w:rPr>
          <w:rFonts w:ascii="Helvetica Neue" w:hAnsi="Helvetica Neue"/>
          <w:b w:val="1"/>
          <w:bCs w:val="1"/>
          <w:rtl w:val="0"/>
          <w:lang w:val="zh-TW" w:eastAsia="zh-TW"/>
        </w:rPr>
        <w:t>9</w:t>
      </w:r>
      <w:r>
        <w:rPr>
          <w:rtl w:val="0"/>
          <w:lang w:val="zh-TW" w:eastAsia="zh-TW"/>
        </w:rPr>
        <w:t>轮</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环境中的</w:t>
      </w:r>
      <w:r>
        <w:rPr>
          <w:rFonts w:ascii="Helvetica Neue" w:hAnsi="Helvetica Neue" w:hint="default"/>
          <w:rtl w:val="0"/>
          <w:lang w:val="zh-TW" w:eastAsia="zh-TW"/>
        </w:rPr>
        <w:t>“</w:t>
      </w:r>
      <w:r>
        <w:rPr>
          <w:rFonts w:eastAsia="Arial Unicode MS" w:hint="eastAsia"/>
          <w:rtl w:val="0"/>
          <w:lang w:val="zh-TW" w:eastAsia="zh-TW"/>
        </w:rPr>
        <w:t>山水林田湖草沙</w:t>
      </w:r>
      <w:r>
        <w:rPr>
          <w:rFonts w:ascii="Helvetica Neue" w:hAnsi="Helvetica Neue" w:hint="default"/>
          <w:rtl w:val="0"/>
          <w:lang w:val="zh-TW" w:eastAsia="zh-TW"/>
        </w:rPr>
        <w:t>”</w:t>
      </w:r>
      <w:r>
        <w:rPr>
          <w:rFonts w:eastAsia="Arial Unicode MS" w:hint="eastAsia"/>
          <w:rtl w:val="0"/>
          <w:lang w:val="zh-TW" w:eastAsia="zh-TW"/>
        </w:rPr>
        <w:t>需要协同治理的时候</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六大强国的目标实现不要组间协同配合</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人才发展与产业升级相匹配</w:t>
      </w:r>
    </w:p>
    <w:p>
      <w:pPr>
        <w:pStyle w:val="正文 A"/>
        <w:spacing w:line="312" w:lineRule="auto"/>
        <w:rPr>
          <w:rFonts w:ascii="Helvetica Neue" w:cs="Helvetica Neue" w:hAnsi="Helvetica Neue" w:eastAsia="Helvetica Neue"/>
          <w:b w:val="1"/>
          <w:bCs w:val="1"/>
        </w:rPr>
      </w:pPr>
      <w:r>
        <w:rPr>
          <w:rtl w:val="0"/>
          <w:lang w:val="zh-TW" w:eastAsia="zh-TW"/>
        </w:rPr>
        <w:t>三阶段分享主题：领导者分析问题和解决问题的能力</w:t>
      </w:r>
    </w:p>
    <w:p>
      <w:pPr>
        <w:pStyle w:val="正文 A"/>
        <w:numPr>
          <w:ilvl w:val="0"/>
          <w:numId w:val="12"/>
        </w:numPr>
        <w:bidi w:val="0"/>
        <w:spacing w:line="312" w:lineRule="auto"/>
        <w:ind w:right="0"/>
        <w:jc w:val="left"/>
        <w:rPr>
          <w:rFonts w:eastAsia="Helvetica Neue" w:hint="eastAsia"/>
          <w:b w:val="1"/>
          <w:bCs w:val="1"/>
          <w:rtl w:val="0"/>
          <w:lang w:val="zh-TW" w:eastAsia="zh-TW"/>
        </w:rPr>
      </w:pPr>
      <w:r>
        <w:rPr>
          <w:rFonts w:eastAsia="Arial Unicode MS" w:hint="eastAsia"/>
          <w:b w:val="0"/>
          <w:bCs w:val="0"/>
          <w:rtl w:val="0"/>
          <w:lang w:val="zh-TW" w:eastAsia="zh-TW"/>
        </w:rPr>
        <w:t>正确的认识问题</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组织发展的每个阶段都有该阶段的问题</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问题不是终点，恰恰是创新和发展的起点</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学会区分</w:t>
      </w:r>
      <w:r>
        <w:rPr>
          <w:rFonts w:ascii="Helvetica Neue" w:hAnsi="Helvetica Neue" w:hint="default"/>
          <w:rtl w:val="0"/>
          <w:lang w:val="zh-TW" w:eastAsia="zh-TW"/>
        </w:rPr>
        <w:t>“</w:t>
      </w:r>
      <w:r>
        <w:rPr>
          <w:rFonts w:eastAsia="Arial Unicode MS" w:hint="eastAsia"/>
          <w:rtl w:val="0"/>
          <w:lang w:val="zh-TW" w:eastAsia="zh-TW"/>
        </w:rPr>
        <w:t>正常问题</w:t>
      </w:r>
      <w:r>
        <w:rPr>
          <w:rFonts w:ascii="Helvetica Neue" w:hAnsi="Helvetica Neue" w:hint="default"/>
          <w:rtl w:val="0"/>
          <w:lang w:val="zh-TW" w:eastAsia="zh-TW"/>
        </w:rPr>
        <w:t>”“</w:t>
      </w:r>
      <w:r>
        <w:rPr>
          <w:rFonts w:eastAsia="Arial Unicode MS" w:hint="eastAsia"/>
          <w:rtl w:val="0"/>
          <w:lang w:val="zh-TW" w:eastAsia="zh-TW"/>
        </w:rPr>
        <w:t>非正常问题</w:t>
      </w:r>
      <w:r>
        <w:rPr>
          <w:rFonts w:ascii="Helvetica Neue" w:hAnsi="Helvetica Neue" w:hint="default"/>
          <w:rtl w:val="0"/>
          <w:lang w:val="zh-TW" w:eastAsia="zh-TW"/>
        </w:rPr>
        <w:t>”</w:t>
      </w:r>
    </w:p>
    <w:p>
      <w:pPr>
        <w:pStyle w:val="正文 A"/>
        <w:numPr>
          <w:ilvl w:val="0"/>
          <w:numId w:val="13"/>
        </w:numPr>
        <w:bidi w:val="0"/>
        <w:spacing w:line="312" w:lineRule="auto"/>
        <w:ind w:right="0"/>
        <w:jc w:val="left"/>
        <w:rPr>
          <w:rFonts w:eastAsia="Helvetica Neue" w:hint="eastAsia"/>
          <w:b w:val="1"/>
          <w:bCs w:val="1"/>
          <w:rtl w:val="0"/>
          <w:lang w:val="zh-TW" w:eastAsia="zh-TW"/>
        </w:rPr>
      </w:pPr>
      <w:r>
        <w:rPr>
          <w:rFonts w:eastAsia="Arial Unicode MS" w:hint="eastAsia"/>
          <w:b w:val="0"/>
          <w:bCs w:val="0"/>
          <w:rtl w:val="0"/>
          <w:lang w:val="zh-TW" w:eastAsia="zh-TW"/>
        </w:rPr>
        <w:t>问题的分析</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问题的层面、类别分析：发生型问题、探索型问题、设定型问题</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问题背后的问题：忙、盲、茫导致的无问题意识</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问题背后的障碍：心理、能力、经验、态度</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问题分析冰山框架：显现问题、隐含问题、潜在问题</w:t>
      </w:r>
    </w:p>
    <w:p>
      <w:pPr>
        <w:pStyle w:val="正文 A"/>
        <w:numPr>
          <w:ilvl w:val="0"/>
          <w:numId w:val="14"/>
        </w:numPr>
        <w:bidi w:val="0"/>
        <w:spacing w:line="312" w:lineRule="auto"/>
        <w:ind w:right="0"/>
        <w:jc w:val="left"/>
        <w:rPr>
          <w:rFonts w:eastAsia="Helvetica Neue" w:hint="eastAsia"/>
          <w:b w:val="1"/>
          <w:bCs w:val="1"/>
          <w:rtl w:val="0"/>
          <w:lang w:val="zh-TW" w:eastAsia="zh-TW"/>
        </w:rPr>
      </w:pPr>
      <w:r>
        <w:rPr>
          <w:rFonts w:eastAsia="Arial Unicode MS" w:hint="eastAsia"/>
          <w:b w:val="0"/>
          <w:bCs w:val="0"/>
          <w:rtl w:val="0"/>
          <w:lang w:val="zh-TW" w:eastAsia="zh-TW"/>
        </w:rPr>
        <w:t>问题的解决</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鱼骨图法找到问题的根本原因</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搭建解决问题的团队：提议者、组织者、协调者、挑战者</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解决问题的八大能力</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解决问题的八项步骤</w:t>
      </w:r>
    </w:p>
    <w:p>
      <w:pPr>
        <w:pStyle w:val="正文 A"/>
        <w:numPr>
          <w:ilvl w:val="0"/>
          <w:numId w:val="6"/>
        </w:numPr>
        <w:bidi w:val="0"/>
        <w:spacing w:line="312" w:lineRule="auto"/>
        <w:ind w:right="0"/>
        <w:jc w:val="left"/>
        <w:rPr>
          <w:rFonts w:eastAsia="Helvetica Neue" w:hint="eastAsia"/>
          <w:rtl w:val="0"/>
          <w:lang w:val="zh-TW" w:eastAsia="zh-TW"/>
        </w:rPr>
      </w:pPr>
      <w:r>
        <w:rPr>
          <w:rFonts w:eastAsia="Arial Unicode MS" w:hint="eastAsia"/>
          <w:rtl w:val="0"/>
          <w:lang w:val="zh-TW" w:eastAsia="zh-TW"/>
        </w:rPr>
        <w:t>解决问题的七项原则</w:t>
      </w:r>
      <w:r>
        <w:rPr>
          <w:rFonts w:ascii="Helvetica Neue" w:cs="Helvetica Neue" w:hAnsi="Helvetica Neue" w:eastAsia="Helvetica Neue"/>
        </w:rPr>
      </w:r>
    </w:p>
    <w:sectPr>
      <w:headerReference w:type="default" r:id="rId5"/>
      <w:footerReference w:type="default" r:id="rId6"/>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PingFang SC Regular">
    <w:charset w:val="00"/>
    <w:family w:val="roman"/>
    <w:pitch w:val="default"/>
  </w:font>
  <w:font w:name="Helvetica Neue">
    <w:charset w:val="00"/>
    <w:family w:val="roman"/>
    <w:pitch w:val="default"/>
  </w:font>
  <w:font w:name="Microsoft YaHe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项目符号"/>
  </w:abstractNum>
  <w:abstractNum w:abstractNumId="1">
    <w:multiLevelType w:val="hybridMultilevel"/>
    <w:styleLink w:val="项目符号"/>
    <w:lvl w:ilvl="0">
      <w:start w:val="1"/>
      <w:numFmt w:val="bullet"/>
      <w:suff w:val="tab"/>
      <w:lvlText w:val="•"/>
      <w:lvlJc w:val="left"/>
      <w:pPr>
        <w:tabs>
          <w:tab w:val="num" w:pos="634"/>
        </w:tabs>
        <w:ind w:left="180" w:firstLine="27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634"/>
          <w:tab w:val="num" w:pos="814"/>
        </w:tabs>
        <w:ind w:left="360" w:firstLine="27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634"/>
          <w:tab w:val="num" w:pos="994"/>
        </w:tabs>
        <w:ind w:left="540" w:firstLine="27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634"/>
          <w:tab w:val="num" w:pos="1174"/>
        </w:tabs>
        <w:ind w:left="720" w:firstLine="27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634"/>
          <w:tab w:val="num" w:pos="1354"/>
        </w:tabs>
        <w:ind w:left="900" w:firstLine="27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634"/>
          <w:tab w:val="num" w:pos="1534"/>
        </w:tabs>
        <w:ind w:left="1080" w:firstLine="27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634"/>
          <w:tab w:val="num" w:pos="1714"/>
        </w:tabs>
        <w:ind w:left="1260" w:firstLine="27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634"/>
          <w:tab w:val="num" w:pos="1894"/>
        </w:tabs>
        <w:ind w:left="1440" w:firstLine="27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634"/>
          <w:tab w:val="num" w:pos="2074"/>
        </w:tabs>
        <w:ind w:left="1620" w:firstLine="27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编号"/>
  </w:abstractNum>
  <w:abstractNum w:abstractNumId="3">
    <w:multiLevelType w:val="hybridMultilevel"/>
    <w:styleLink w:val="编号"/>
    <w:lvl w:ilvl="0">
      <w:start w:val="1"/>
      <w:numFmt w:val="decimal"/>
      <w:suff w:val="tab"/>
      <w:lvlText w:val="%1."/>
      <w:lvlJc w:val="left"/>
      <w:pPr>
        <w:tabs>
          <w:tab w:val="num" w:pos="814"/>
        </w:tabs>
        <w:ind w:left="360" w:firstLine="9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814"/>
          <w:tab w:val="num" w:pos="1174"/>
        </w:tabs>
        <w:ind w:left="720" w:firstLine="9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814"/>
          <w:tab w:val="num" w:pos="1534"/>
        </w:tabs>
        <w:ind w:left="1080" w:firstLine="9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814"/>
          <w:tab w:val="num" w:pos="1894"/>
        </w:tabs>
        <w:ind w:left="1440" w:firstLine="9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814"/>
          <w:tab w:val="num" w:pos="2254"/>
        </w:tabs>
        <w:ind w:left="1800" w:firstLine="9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814"/>
          <w:tab w:val="num" w:pos="2614"/>
        </w:tabs>
        <w:ind w:left="2160" w:firstLine="9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814"/>
          <w:tab w:val="num" w:pos="2974"/>
        </w:tabs>
        <w:ind w:left="2520" w:firstLine="9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814"/>
          <w:tab w:val="num" w:pos="3334"/>
        </w:tabs>
        <w:ind w:left="2880" w:firstLine="9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814"/>
          <w:tab w:val="num" w:pos="3694"/>
        </w:tabs>
        <w:ind w:left="3240" w:firstLine="9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6">
    <w:abstractNumId w:val="0"/>
    <w:lvlOverride w:ilvl="0">
      <w:lvl w:ilvl="0">
        <w:start w:val="1"/>
        <w:numFmt w:val="bullet"/>
        <w:suff w:val="tab"/>
        <w:lvlText w:val="•"/>
        <w:lvlJc w:val="left"/>
        <w:pPr>
          <w:ind w:left="18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36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54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72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90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108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126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144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162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
    <w:abstractNumId w:val="2"/>
    <w:lvlOverride w:ilvl="0">
      <w:startOverride w:val="2"/>
      <w:lvl w:ilvl="0">
        <w:start w:val="2"/>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8">
    <w:abstractNumId w:val="2"/>
    <w:lvlOverride w:ilvl="0">
      <w:startOverride w:val="3"/>
      <w:lvl w:ilvl="0">
        <w:start w:val="3"/>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9">
    <w:abstractNumId w:val="2"/>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10">
    <w:abstractNumId w:val="2"/>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11">
    <w:abstractNumId w:val="2"/>
    <w:lvlOverride w:ilvl="0">
      <w:startOverride w:val="2"/>
      <w:lvl w:ilvl="0">
        <w:start w:val="2"/>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12">
    <w:abstractNumId w:val="2"/>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13">
    <w:abstractNumId w:val="2"/>
    <w:lvlOverride w:ilvl="0">
      <w:startOverride w:val="2"/>
      <w:lvl w:ilvl="0">
        <w:start w:val="2"/>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14">
    <w:abstractNumId w:val="2"/>
    <w:lvlOverride w:ilvl="0">
      <w:startOverride w:val="3"/>
      <w:lvl w:ilvl="0">
        <w:start w:val="3"/>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页眉与页脚">
    <w:name w:val="页眉与页脚"/>
    <w:next w:val="页眉与页脚"/>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PingFang SC Regular" w:cs="Arial Unicode MS" w:hAnsi="PingFang SC Regular"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正文 A">
    <w:name w:val="正文 A"/>
    <w:next w:val="正文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Unicode MS" w:cs="Arial Unicode MS" w:hAnsi="Arial Unicode MS" w:eastAsia="Arial Unicode MS" w:hint="eastAsia"/>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zh-TW" w:eastAsia="zh-TW"/>
      <w14:textOutline w14:w="12700" w14:cap="flat">
        <w14:noFill/>
        <w14:miter w14:lim="400000"/>
      </w14:textOutline>
      <w14:textFill>
        <w14:solidFill>
          <w14:srgbClr w14:val="000000"/>
        </w14:solidFill>
      </w14:textFill>
    </w:rPr>
  </w:style>
  <w:style w:type="numbering" w:styleId="项目符号">
    <w:name w:val="项目符号"/>
    <w:pPr>
      <w:numPr>
        <w:numId w:val="1"/>
      </w:numPr>
    </w:pPr>
  </w:style>
  <w:style w:type="numbering" w:styleId="编号">
    <w:name w:val="编号"/>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PingFang SC Semibold"/>
        <a:ea typeface="PingFang SC Semibold"/>
        <a:cs typeface="PingFang SC Semibold"/>
      </a:majorFont>
      <a:minorFont>
        <a:latin typeface="PingFang SC Regular"/>
        <a:ea typeface="PingFang SC Regular"/>
        <a:cs typeface="PingFang SC Regular"/>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