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32"/>
          <w:szCs w:val="32"/>
          <w:rtl w:val="0"/>
          <w:lang w:val="zh-CN" w:eastAsia="zh-CN"/>
        </w:rPr>
        <w:t>课程背景</w:t>
      </w: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-6503</wp:posOffset>
            </wp:positionH>
            <wp:positionV relativeFrom="page">
              <wp:posOffset>628360</wp:posOffset>
            </wp:positionV>
            <wp:extent cx="6120057" cy="2868777"/>
            <wp:effectExtent l="0" t="0" r="0" b="0"/>
            <wp:wrapTopAndBottom distT="152400" distB="152400"/>
            <wp:docPr id="1073741825" name="officeArt object" descr="208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208.jpeg" descr="208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rcRect l="0" t="0" r="0" b="0"/>
                    <a:stretch>
                      <a:fillRect/>
                    </a:stretch>
                  </pic:blipFill>
                  <pic:spPr>
                    <a:xfrm>
                      <a:off x="0" y="0"/>
                      <a:ext cx="6120057" cy="28687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margin">
                  <wp:posOffset>12700</wp:posOffset>
                </wp:positionH>
                <wp:positionV relativeFrom="line">
                  <wp:posOffset>3229367</wp:posOffset>
                </wp:positionV>
                <wp:extent cx="6120057" cy="0"/>
                <wp:effectExtent l="0" t="0" r="0" b="0"/>
                <wp:wrapTopAndBottom distT="0" distB="0"/>
                <wp:docPr id="1073741826" name="officeArt object" descr="线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57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style="visibility:visible;position:absolute;margin-left:1.0pt;margin-top:254.3pt;width:481.9pt;height:0.0pt;z-index:251661312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2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margin"/>
              </v:line>
            </w:pict>
          </mc:Fallback>
        </mc:AlternateConten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中医理论中，真正能治</w:t>
      </w:r>
      <w:r>
        <w:rPr>
          <w:rFonts w:ascii="Helvetica Neue" w:hAnsi="Helvetica Neue" w:hint="default"/>
          <w:rtl w:val="0"/>
          <w:lang w:val="zh-CN" w:eastAsia="zh-CN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未病</w:t>
      </w:r>
      <w:r>
        <w:rPr>
          <w:rFonts w:ascii="Helvetica Neue" w:hAnsi="Helvetica Neue" w:hint="default"/>
          <w:rtl w:val="0"/>
          <w:lang w:val="zh-CN" w:eastAsia="zh-CN"/>
        </w:rPr>
        <w:t>”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的，才被奉为优秀的医生。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在企业的经营管理中，大家往往看重企业的业绩表现，而忽略了企业可以持续发展的能力：</w:t>
      </w:r>
      <w:r>
        <w:rPr>
          <w:rFonts w:ascii="Helvetica Neue" w:hAnsi="Helvetica Neue" w:hint="default"/>
          <w:rtl w:val="0"/>
          <w:lang w:val="zh-CN" w:eastAsia="zh-CN"/>
        </w:rPr>
        <w:t>“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组织健康。</w:t>
      </w:r>
      <w:r>
        <w:rPr>
          <w:rFonts w:ascii="Helvetica Neue" w:hAnsi="Helvetica Neue" w:hint="default"/>
          <w:rtl w:val="0"/>
          <w:lang w:val="zh-CN" w:eastAsia="zh-CN"/>
        </w:rPr>
        <w:t>”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管理大师爱迪思，在其重要的管理思想《企业生命周期》当中说：任何一个企业的任何一个阶段都是会遇到各种问题的。一个不存在问题的企业，也就等同于即将灭亡的企业。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我们每天都在解决问题。不同的是，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有人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首先是能成功的预防问题，然后才是成功地解决不能防止的问题。成功地防止问题，比成功地解决问题更为重要；快速有效地成功解决出现的问题，比无效率地解决问题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720000</wp:posOffset>
                </wp:positionH>
                <wp:positionV relativeFrom="page">
                  <wp:posOffset>1075180</wp:posOffset>
                </wp:positionV>
                <wp:extent cx="3644118" cy="176598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《问题的分析与解决》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44118" cy="176598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正文"/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z w:val="52"/>
                                <w:szCs w:val="52"/>
                                <w:rtl w:val="0"/>
                                <w:lang w:val="zh-CN" w:eastAsia="zh-CN"/>
                              </w:rPr>
                              <w:t>《问题的分析与解决》</w:t>
                            </w:r>
                          </w:p>
                          <w:p>
                            <w:pPr>
                              <w:pStyle w:val="正文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sz w:val="36"/>
                                <w:szCs w:val="36"/>
                                <w:rtl w:val="0"/>
                                <w:lang w:val="zh-CN" w:eastAsia="zh-CN"/>
                              </w:rPr>
                              <w:t>组织健康系列课程</w:t>
                            </w:r>
                          </w:p>
                          <w:p>
                            <w:pPr>
                              <w:pStyle w:val="正文"/>
                              <w:jc w:val="center"/>
                            </w:pPr>
                          </w:p>
                          <w:p>
                            <w:pPr>
                              <w:pStyle w:val="正文"/>
                              <w:jc w:val="center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rtl w:val="0"/>
                                <w:lang w:val="zh-CN" w:eastAsia="zh-CN"/>
                              </w:rPr>
                              <w:t>课程讲授：马亮老师</w:t>
                            </w:r>
                          </w:p>
                          <w:p>
                            <w:pPr>
                              <w:pStyle w:val="正文"/>
                              <w:jc w:val="center"/>
                            </w:pPr>
                            <w:r>
                              <w:rPr>
                                <w:rFonts w:ascii="Arial Unicode MS" w:cs="Arial Unicode MS" w:hAnsi="Arial Unicode MS" w:eastAsia="Arial Unicode MS" w:hint="eastAsia"/>
                                <w:b w:val="0"/>
                                <w:bCs w:val="0"/>
                                <w:i w:val="0"/>
                                <w:iCs w:val="0"/>
                                <w:rtl w:val="0"/>
                                <w:lang w:val="zh-CN" w:eastAsia="zh-CN"/>
                              </w:rPr>
                              <w:t>职场模拟器版权课程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56.7pt;margin-top:84.7pt;width:286.9pt;height:139.1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正文"/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z w:val="52"/>
                          <w:szCs w:val="52"/>
                          <w:rtl w:val="0"/>
                          <w:lang w:val="zh-CN" w:eastAsia="zh-CN"/>
                        </w:rPr>
                        <w:t>《问题的分析与解决》</w:t>
                      </w:r>
                    </w:p>
                    <w:p>
                      <w:pPr>
                        <w:pStyle w:val="正文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sz w:val="36"/>
                          <w:szCs w:val="36"/>
                          <w:rtl w:val="0"/>
                          <w:lang w:val="zh-CN" w:eastAsia="zh-CN"/>
                        </w:rPr>
                        <w:t>组织健康系列课程</w:t>
                      </w:r>
                    </w:p>
                    <w:p>
                      <w:pPr>
                        <w:pStyle w:val="正文"/>
                        <w:jc w:val="center"/>
                      </w:pPr>
                    </w:p>
                    <w:p>
                      <w:pPr>
                        <w:pStyle w:val="正文"/>
                        <w:jc w:val="center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rtl w:val="0"/>
                          <w:lang w:val="zh-CN" w:eastAsia="zh-CN"/>
                        </w:rPr>
                        <w:t>课程讲授：马亮老师</w:t>
                      </w:r>
                    </w:p>
                    <w:p>
                      <w:pPr>
                        <w:pStyle w:val="正文"/>
                        <w:jc w:val="center"/>
                      </w:pPr>
                      <w:r>
                        <w:rPr>
                          <w:rFonts w:ascii="Arial Unicode MS" w:cs="Arial Unicode MS" w:hAnsi="Arial Unicode MS" w:eastAsia="Arial Unicode MS" w:hint="eastAsia"/>
                          <w:b w:val="0"/>
                          <w:bCs w:val="0"/>
                          <w:i w:val="0"/>
                          <w:iCs w:val="0"/>
                          <w:rtl w:val="0"/>
                          <w:lang w:val="zh-CN" w:eastAsia="zh-CN"/>
                        </w:rPr>
                        <w:t>职场模拟器版权课程</w:t>
                      </w:r>
                    </w:p>
                  </w:txbxContent>
                </v:textbox>
                <w10:wrap type="through" side="bothSides" anchorx="page" anchory="page"/>
              </v:shape>
            </w:pict>
          </mc:Fallback>
        </mc:AlternateContent>
      </w:r>
      <w:r>
        <w:drawing xmlns:a="http://schemas.openxmlformats.org/drawingml/2006/main">
          <wp:anchor distT="152400" distB="152400" distL="152400" distR="152400" simplePos="0" relativeHeight="251663360" behindDoc="0" locked="0" layoutInCell="1" allowOverlap="1">
            <wp:simplePos x="0" y="0"/>
            <wp:positionH relativeFrom="page">
              <wp:posOffset>1603339</wp:posOffset>
            </wp:positionH>
            <wp:positionV relativeFrom="page">
              <wp:posOffset>2297440</wp:posOffset>
            </wp:positionV>
            <wp:extent cx="162235" cy="162278"/>
            <wp:effectExtent l="0" t="0" r="0" b="0"/>
            <wp:wrapNone/>
            <wp:docPr id="1073741829" name="officeArt object" descr="屏幕快照 2020-03-07 20.18.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屏幕快照 2020-03-07 20.18.22.png" descr="屏幕快照 2020-03-07 20.18.22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19409" t="5449" r="17796" b="28094"/>
                    <a:stretch>
                      <a:fillRect/>
                    </a:stretch>
                  </pic:blipFill>
                  <pic:spPr>
                    <a:xfrm>
                      <a:off x="0" y="0"/>
                      <a:ext cx="162235" cy="162278"/>
                    </a:xfrm>
                    <a:custGeom>
                      <a:avLst/>
                      <a:gdLst/>
                      <a:ahLst/>
                      <a:cxnLst>
                        <a:cxn ang="0">
                          <a:pos x="wd2" y="hd2"/>
                        </a:cxn>
                        <a:cxn ang="5400000">
                          <a:pos x="wd2" y="hd2"/>
                        </a:cxn>
                        <a:cxn ang="10800000">
                          <a:pos x="wd2" y="hd2"/>
                        </a:cxn>
                        <a:cxn ang="16200000">
                          <a:pos x="wd2" y="hd2"/>
                        </a:cxn>
                      </a:cxnLst>
                      <a:rect l="0" t="0" r="r" b="b"/>
                      <a:pathLst>
                        <a:path w="19678" h="20595" fill="norm" stroke="1" extrusionOk="0">
                          <a:moveTo>
                            <a:pt x="9815" y="0"/>
                          </a:moveTo>
                          <a:cubicBezTo>
                            <a:pt x="7296" y="0"/>
                            <a:pt x="4805" y="1011"/>
                            <a:pt x="2883" y="3022"/>
                          </a:cubicBezTo>
                          <a:cubicBezTo>
                            <a:pt x="-961" y="7044"/>
                            <a:pt x="-961" y="13556"/>
                            <a:pt x="2883" y="17578"/>
                          </a:cubicBezTo>
                          <a:cubicBezTo>
                            <a:pt x="6727" y="21600"/>
                            <a:pt x="12951" y="21600"/>
                            <a:pt x="16795" y="17578"/>
                          </a:cubicBezTo>
                          <a:cubicBezTo>
                            <a:pt x="20639" y="13556"/>
                            <a:pt x="20639" y="7044"/>
                            <a:pt x="16795" y="3022"/>
                          </a:cubicBezTo>
                          <a:cubicBezTo>
                            <a:pt x="14873" y="1011"/>
                            <a:pt x="12334" y="0"/>
                            <a:pt x="9815" y="0"/>
                          </a:cubicBezTo>
                          <a:close/>
                        </a:path>
                      </a:pathLst>
                    </a:cu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甚至是制造问题更有意义。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本课程融汇了逻辑思维方法、系统思考方法、管理工具，以简洁快速高效处理问题而著称，本课程突出真实案例教学与实战经验分享，融入大量企业管理、团队管理和社会生活案例，并采用行动学习方式，高效率处理管理者现实问题。</w:t>
      </w:r>
    </w:p>
    <w:p>
      <w:pPr>
        <w:pStyle w:val="正文"/>
        <w:spacing w:line="312" w:lineRule="auto"/>
        <w:jc w:val="left"/>
      </w:pP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32"/>
          <w:szCs w:val="32"/>
          <w:rtl w:val="0"/>
          <w:lang w:val="zh-CN" w:eastAsia="zh-CN"/>
        </w:rPr>
        <w:t>课程概况</w: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4384" behindDoc="0" locked="0" layoutInCell="1" allowOverlap="1">
                <wp:simplePos x="0" y="0"/>
                <wp:positionH relativeFrom="margin">
                  <wp:posOffset>12700</wp:posOffset>
                </wp:positionH>
                <wp:positionV relativeFrom="line">
                  <wp:posOffset>295953</wp:posOffset>
                </wp:positionV>
                <wp:extent cx="6120057" cy="0"/>
                <wp:effectExtent l="0" t="0" r="0" b="0"/>
                <wp:wrapTopAndBottom distT="0" distB="0"/>
                <wp:docPr id="1073741827" name="officeArt object" descr="线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57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1.0pt;margin-top:23.3pt;width:481.9pt;height:0.0pt;z-index:251664384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2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margin"/>
              </v:line>
            </w:pict>
          </mc:Fallback>
        </mc:AlternateContent>
      </w:r>
    </w:p>
    <w:p>
      <w:pPr>
        <w:pStyle w:val="正文"/>
        <w:spacing w:line="312" w:lineRule="auto"/>
        <w:jc w:val="left"/>
        <w:rPr>
          <w:b w:val="1"/>
          <w:bCs w:val="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课程时间：</w:t>
      </w:r>
      <w:r>
        <w:rPr>
          <w:rFonts w:ascii="Helvetica Neue" w:hAnsi="Helvetica Neue"/>
          <w:b w:val="1"/>
          <w:bCs w:val="1"/>
          <w:rtl w:val="0"/>
          <w:lang w:val="zh-CN" w:eastAsia="zh-CN"/>
        </w:rPr>
        <w:t>6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小时</w:t>
      </w:r>
    </w:p>
    <w:p>
      <w:pPr>
        <w:pStyle w:val="正文"/>
        <w:spacing w:line="312" w:lineRule="auto"/>
        <w:jc w:val="left"/>
        <w:rPr>
          <w:b w:val="1"/>
          <w:bCs w:val="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适合行业及适合对象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本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课程已经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在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零售、地产、制药、电器、汽车、通信、</w:t>
      </w:r>
      <w:r>
        <w:rPr>
          <w:rFonts w:ascii="Helvetica Neue" w:hAnsi="Helvetica Neue"/>
          <w:rtl w:val="0"/>
        </w:rPr>
        <w:t>IT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、快速消费品等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多个行业经过验证，课程满意度在</w:t>
      </w:r>
      <w:r>
        <w:rPr>
          <w:rFonts w:ascii="Helvetica Neue" w:hAnsi="Helvetica Neue"/>
          <w:rtl w:val="0"/>
          <w:lang w:val="zh-CN" w:eastAsia="zh-CN"/>
        </w:rPr>
        <w:t>95%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以上。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本课程适合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组织高管、中层经理、采购、研发、生产、财务、营销、人力资源等等一系列的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管理者及普通员工。</w:t>
      </w:r>
    </w:p>
    <w:p>
      <w:pPr>
        <w:pStyle w:val="正文"/>
        <w:spacing w:line="312" w:lineRule="auto"/>
        <w:ind w:firstLine="454"/>
        <w:jc w:val="left"/>
      </w:pPr>
    </w:p>
    <w:p>
      <w:pPr>
        <w:pStyle w:val="正文"/>
        <w:spacing w:line="312" w:lineRule="auto"/>
        <w:ind w:firstLine="454"/>
        <w:jc w:val="left"/>
      </w:pPr>
    </w:p>
    <w:p>
      <w:pPr>
        <w:pStyle w:val="正文"/>
        <w:spacing w:line="312" w:lineRule="auto"/>
        <w:ind w:firstLine="454"/>
        <w:jc w:val="left"/>
      </w:pPr>
    </w:p>
    <w:p>
      <w:pPr>
        <w:pStyle w:val="正文"/>
        <w:spacing w:line="312" w:lineRule="auto"/>
        <w:ind w:firstLine="454"/>
        <w:jc w:val="left"/>
      </w:pPr>
    </w:p>
    <w:p>
      <w:pPr>
        <w:pStyle w:val="正文"/>
        <w:spacing w:line="312" w:lineRule="auto"/>
        <w:ind w:firstLine="454"/>
        <w:jc w:val="left"/>
      </w:pPr>
    </w:p>
    <w:p>
      <w:pPr>
        <w:pStyle w:val="正文"/>
        <w:spacing w:line="312" w:lineRule="auto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32"/>
          <w:szCs w:val="32"/>
          <w:rtl w:val="0"/>
          <w:lang w:val="zh-CN" w:eastAsia="zh-CN"/>
        </w:rPr>
        <w:t>课程收益</w: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margin">
                  <wp:posOffset>12700</wp:posOffset>
                </wp:positionH>
                <wp:positionV relativeFrom="line">
                  <wp:posOffset>284560</wp:posOffset>
                </wp:positionV>
                <wp:extent cx="6120057" cy="0"/>
                <wp:effectExtent l="0" t="0" r="0" b="0"/>
                <wp:wrapTopAndBottom distT="0" distB="0"/>
                <wp:docPr id="1073741830" name="officeArt object" descr="线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0057" cy="0"/>
                        </a:xfrm>
                        <a:prstGeom prst="line">
                          <a:avLst/>
                        </a:prstGeom>
                        <a:noFill/>
                        <a:ln w="25400" cap="flat">
                          <a:solidFill>
                            <a:srgbClr val="000000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9" style="visibility:visible;position:absolute;margin-left:1.0pt;margin-top:22.4pt;width:481.9pt;height:0.0pt;z-index:25166233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2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margin"/>
              </v:line>
            </w:pict>
          </mc:Fallback>
        </mc:AlternateContent>
      </w:r>
    </w:p>
    <w:p>
      <w:pPr>
        <w:pStyle w:val="正文"/>
        <w:spacing w:line="312" w:lineRule="auto"/>
        <w:jc w:val="left"/>
        <w:rPr>
          <w:b w:val="1"/>
          <w:bCs w:val="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学员收益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提升问题分析解决能力，提升职场竞争力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获取领导同事的信任，提升可靠程度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善于解决问题，提升执行力</w:t>
      </w:r>
    </w:p>
    <w:p>
      <w:pPr>
        <w:pStyle w:val="正文"/>
        <w:spacing w:line="312" w:lineRule="auto"/>
        <w:jc w:val="left"/>
        <w:rPr>
          <w:b w:val="1"/>
          <w:bCs w:val="1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组织收益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快速简洁有效的问题处理方法与工具，提高问题处理效率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有效规避企业常见的问题解决错误，提高问题处理质量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提高风险识别和风险应对能力，防患于未然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问题少了，团队更和谐，客户更满意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管理团队掌握优秀的思维技巧，统一认识，在同一思维平台上，发挥各自优势，同舟共济，跨越发展瓶颈。</w:t>
      </w:r>
    </w:p>
    <w:p>
      <w:pPr>
        <w:pStyle w:val="正文"/>
        <w:spacing w:line="312" w:lineRule="auto"/>
        <w:jc w:val="left"/>
        <w:rPr>
          <w:sz w:val="32"/>
          <w:szCs w:val="32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32"/>
          <w:szCs w:val="32"/>
          <w:rtl w:val="0"/>
          <w:lang w:val="zh-CN" w:eastAsia="zh-CN"/>
        </w:rPr>
        <w:t>课程大纲</w:t>
      </w:r>
    </w:p>
    <w:p>
      <w:pPr>
        <w:pStyle w:val="正文"/>
        <w:spacing w:line="312" w:lineRule="auto"/>
        <w:ind w:firstLine="454"/>
        <w:jc w:val="left"/>
      </w:pPr>
    </w:p>
    <w:p>
      <w:pPr>
        <w:pStyle w:val="正文"/>
        <w:spacing w:line="312" w:lineRule="auto"/>
        <w:ind w:firstLine="454"/>
        <w:jc w:val="center"/>
        <w:rPr>
          <w:sz w:val="32"/>
          <w:szCs w:val="32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32"/>
          <w:szCs w:val="32"/>
          <w:rtl w:val="0"/>
          <w:lang w:val="zh-CN" w:eastAsia="zh-CN"/>
        </w:rPr>
        <w:t>第一部分：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32"/>
          <w:szCs w:val="32"/>
          <w:rtl w:val="0"/>
          <w:lang w:val="zh-CN" w:eastAsia="zh-CN"/>
        </w:rPr>
        <w:t>正确认识问题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一、问题的意义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创新与问题之间的关系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问题的积极影响案例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二、问题的不同分类：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正常问题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异常问题</w:t>
      </w:r>
    </w:p>
    <w:p>
      <w:pPr>
        <w:pStyle w:val="正文"/>
        <w:spacing w:line="312" w:lineRule="auto"/>
        <w:ind w:firstLine="454"/>
        <w:jc w:val="center"/>
        <w:rPr>
          <w:sz w:val="32"/>
          <w:szCs w:val="32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32"/>
          <w:szCs w:val="32"/>
          <w:rtl w:val="0"/>
          <w:lang w:val="zh-CN" w:eastAsia="zh-CN"/>
        </w:rPr>
        <w:t>第二部分：问题分析与解决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32"/>
          <w:szCs w:val="32"/>
          <w:rtl w:val="0"/>
          <w:lang w:val="zh-CN" w:eastAsia="zh-CN"/>
        </w:rPr>
        <w:t>的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32"/>
          <w:szCs w:val="32"/>
          <w:rtl w:val="0"/>
          <w:lang w:val="zh-CN" w:eastAsia="zh-CN"/>
        </w:rPr>
        <w:t>步骤、方法和工具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一、现状描述、问题定义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罗列问题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将问题按照优先顺序排序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重要紧急矩阵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二、形式评估、目标确定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、形式评估法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问题影响程度评估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问题发展趋势评估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问题重要性紧急性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、目标确定法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解决问题的目标之挑战目标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解决问题的目标之改善目标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3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TW" w:eastAsia="zh-TW"/>
        </w:rPr>
        <w:t>、四问法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我们要解决什么问题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我们为什么要解决这个问题？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解决这个问题要达成的目标是什么？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团队成员是否都清楚理解了这个问题？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TW" w:eastAsia="zh-TW"/>
        </w:rPr>
        <w:t>三、系统分析、要因洞悉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、团队列名法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团队列名法的特点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问题研讨会公约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研讨问题过程中的要求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研讨中需要澄清的地方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问题研讨会的智慧呈现方法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、运用团队列名法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团队列名法六步规则</w:t>
      </w:r>
    </w:p>
    <w:p>
      <w:pPr>
        <w:pStyle w:val="正文"/>
        <w:numPr>
          <w:ilvl w:val="0"/>
          <w:numId w:val="2"/>
        </w:numPr>
        <w:spacing w:line="312" w:lineRule="auto"/>
        <w:jc w:val="left"/>
        <w:rPr>
          <w:lang w:val="zh-CN" w:eastAsia="zh-CN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团队列名回顾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四、创新思维，科学求解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、借鉴创意法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TW" w:eastAsia="zh-TW"/>
        </w:rPr>
        <w:t>、力场分析法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3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、团队共创法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4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、鱼骨图</w:t>
      </w:r>
    </w:p>
    <w:p>
      <w:pPr>
        <w:pStyle w:val="正文"/>
        <w:spacing w:line="312" w:lineRule="auto"/>
        <w:ind w:firstLine="454"/>
        <w:jc w:val="left"/>
      </w:pPr>
    </w:p>
    <w:p>
      <w:pPr>
        <w:pStyle w:val="正文"/>
        <w:spacing w:line="312" w:lineRule="auto"/>
        <w:ind w:firstLine="454"/>
        <w:jc w:val="left"/>
      </w:pPr>
    </w:p>
    <w:p>
      <w:pPr>
        <w:pStyle w:val="正文"/>
        <w:spacing w:line="312" w:lineRule="auto"/>
        <w:ind w:firstLine="454"/>
        <w:jc w:val="left"/>
      </w:pPr>
    </w:p>
    <w:p>
      <w:pPr>
        <w:pStyle w:val="正文"/>
        <w:spacing w:line="312" w:lineRule="auto"/>
        <w:ind w:firstLine="454"/>
        <w:jc w:val="center"/>
        <w:rPr>
          <w:sz w:val="32"/>
          <w:szCs w:val="32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32"/>
          <w:szCs w:val="32"/>
          <w:rtl w:val="0"/>
          <w:lang w:val="zh-CN" w:eastAsia="zh-CN"/>
        </w:rPr>
        <w:t>第三部分：问题解决能力与实际工作</w:t>
      </w:r>
      <w:r>
        <w:rPr>
          <w:rFonts w:ascii="Helvetica Neue" w:hAnsi="Helvetica Neue"/>
          <w:sz w:val="32"/>
          <w:szCs w:val="32"/>
          <w:rtl w:val="0"/>
        </w:rPr>
        <w:t>-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sz w:val="32"/>
          <w:szCs w:val="32"/>
          <w:rtl w:val="0"/>
          <w:lang w:val="zh-CN" w:eastAsia="zh-CN"/>
        </w:rPr>
        <w:t>做个解决问题的高手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一、风险规避、落实达成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、行动计划表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、障碍扫除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3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、风险防范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4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、保持沟通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5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、监督机制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6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、激励机制</w:t>
      </w:r>
    </w:p>
    <w:p>
      <w:pPr>
        <w:pStyle w:val="正文"/>
        <w:spacing w:line="312" w:lineRule="auto"/>
        <w:ind w:firstLine="454"/>
        <w:jc w:val="left"/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二、知行合一、绩效实现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1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、课程知识点回顾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2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、驾驭工具、运用自如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3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、课程感受及分享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4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、从知到行的五个阶段</w:t>
      </w:r>
    </w:p>
    <w:p>
      <w:pPr>
        <w:pStyle w:val="正文"/>
        <w:spacing w:line="312" w:lineRule="auto"/>
        <w:ind w:firstLine="454"/>
        <w:jc w:val="left"/>
      </w:pPr>
      <w:r>
        <w:rPr>
          <w:rFonts w:ascii="Helvetica Neue" w:hAnsi="Helvetica Neue"/>
          <w:rtl w:val="0"/>
        </w:rPr>
        <w:t>5</w:t>
      </w: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  <w:lang w:val="zh-CN" w:eastAsia="zh-CN"/>
        </w:rPr>
        <w:t>、绩效实现、成就人生</w:t>
      </w:r>
    </w:p>
    <w:p>
      <w:pPr>
        <w:pStyle w:val="正文"/>
        <w:spacing w:line="312" w:lineRule="auto"/>
        <w:jc w:val="left"/>
      </w:pPr>
      <w:r>
        <w:rPr>
          <w:sz w:val="32"/>
          <w:szCs w:val="32"/>
        </w:rPr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项目符号"/>
  </w:abstractNum>
  <w:abstractNum w:abstractNumId="1">
    <w:multiLevelType w:val="hybridMultilevel"/>
    <w:styleLink w:val="项目符号"/>
    <w:lvl w:ilvl="0">
      <w:start w:val="1"/>
      <w:numFmt w:val="bullet"/>
      <w:suff w:val="tab"/>
      <w:lvlText w:val="•"/>
      <w:lvlJc w:val="left"/>
      <w:pPr>
        <w:tabs>
          <w:tab w:val="num" w:pos="634"/>
        </w:tabs>
        <w:ind w:left="180" w:firstLine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tabs>
          <w:tab w:val="num" w:pos="814"/>
        </w:tabs>
        <w:ind w:left="360" w:firstLine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tabs>
          <w:tab w:val="num" w:pos="994"/>
        </w:tabs>
        <w:ind w:left="540" w:firstLine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num" w:pos="1174"/>
        </w:tabs>
        <w:ind w:left="720" w:firstLine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tabs>
          <w:tab w:val="num" w:pos="1354"/>
        </w:tabs>
        <w:ind w:left="900" w:firstLine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tabs>
          <w:tab w:val="num" w:pos="1534"/>
        </w:tabs>
        <w:ind w:left="1080" w:firstLine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num" w:pos="1714"/>
        </w:tabs>
        <w:ind w:left="1260" w:firstLine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tabs>
          <w:tab w:val="num" w:pos="1894"/>
        </w:tabs>
        <w:ind w:left="1440" w:firstLine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tabs>
          <w:tab w:val="num" w:pos="2074"/>
        </w:tabs>
        <w:ind w:left="1620" w:firstLine="27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中文" w:val="‘“(〔[{〈《「『【⦅〘〖«〝︵︷︹︻︽︿﹁﹃﹇﹙﹛﹝｢"/>
  <w:noLineBreaksBefore w:lang="中文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正文">
    <w:name w:val="正文"/>
    <w:next w:val="正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 Unicode MS" w:cs="Arial Unicode MS" w:hAnsi="Arial Unicode MS" w:eastAsia="Helvetica Neue" w:hint="eastAs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zh-CN" w:eastAsia="zh-CN"/>
      <w14:textOutline>
        <w14:noFill/>
      </w14:textOutline>
      <w14:textFill>
        <w14:solidFill>
          <w14:srgbClr w14:val="000000"/>
        </w14:solidFill>
      </w14:textFill>
    </w:rPr>
  </w:style>
  <w:style w:type="numbering" w:styleId="项目符号">
    <w:name w:val="项目符号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