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课程背景</w:t>
      </w:r>
      <w:r>
        <w:drawing xmlns:a="http://schemas.openxmlformats.org/drawingml/2006/main">
          <wp:anchor distT="152400" distB="152400" distL="152400" distR="152400" simplePos="0" relativeHeight="251659264" behindDoc="0" locked="0" layoutInCell="1" allowOverlap="1">
            <wp:simplePos x="0" y="0"/>
            <wp:positionH relativeFrom="margin">
              <wp:posOffset>-6503</wp:posOffset>
            </wp:positionH>
            <wp:positionV relativeFrom="page">
              <wp:posOffset>628360</wp:posOffset>
            </wp:positionV>
            <wp:extent cx="6120057" cy="2868777"/>
            <wp:effectExtent l="0" t="0" r="0" b="0"/>
            <wp:wrapTopAndBottom distT="152400" distB="152400"/>
            <wp:docPr id="1073741825" name="officeArt object" descr="208.jpg"/>
            <wp:cNvGraphicFramePr/>
            <a:graphic xmlns:a="http://schemas.openxmlformats.org/drawingml/2006/main">
              <a:graphicData uri="http://schemas.openxmlformats.org/drawingml/2006/picture">
                <pic:pic xmlns:pic="http://schemas.openxmlformats.org/drawingml/2006/picture">
                  <pic:nvPicPr>
                    <pic:cNvPr id="1073741825" name="208.jpg" descr="208.jpg"/>
                    <pic:cNvPicPr>
                      <a:picLocks noChangeAspect="1"/>
                    </pic:cNvPicPr>
                  </pic:nvPicPr>
                  <pic:blipFill>
                    <a:blip r:embed="rId4">
                      <a:extLst/>
                    </a:blip>
                    <a:srcRect l="0" t="0" r="0" b="0"/>
                    <a:stretch>
                      <a:fillRect/>
                    </a:stretch>
                  </pic:blipFill>
                  <pic:spPr>
                    <a:xfrm>
                      <a:off x="0" y="0"/>
                      <a:ext cx="6120057" cy="2868777"/>
                    </a:xfrm>
                    <a:prstGeom prst="rect">
                      <a:avLst/>
                    </a:prstGeom>
                    <a:ln w="12700" cap="flat">
                      <a:noFill/>
                      <a:miter lim="400000"/>
                    </a:ln>
                    <a:effectLst/>
                  </pic:spPr>
                </pic:pic>
              </a:graphicData>
            </a:graphic>
          </wp:anchor>
        </w:drawing>
      </w:r>
      <w: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6"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1.0pt;margin-top:254.3pt;width:481.9pt;height:0.0pt;z-index:25166131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152400" distB="152400" distL="152400" distR="152400" simplePos="0" relativeHeight="251665408" behindDoc="0" locked="0" layoutInCell="1" allowOverlap="1">
                <wp:simplePos x="0" y="0"/>
                <wp:positionH relativeFrom="margin">
                  <wp:posOffset>2510762</wp:posOffset>
                </wp:positionH>
                <wp:positionV relativeFrom="line">
                  <wp:posOffset>202780</wp:posOffset>
                </wp:positionV>
                <wp:extent cx="268881" cy="295866"/>
                <wp:effectExtent l="0" t="0" r="0" b="0"/>
                <wp:wrapNone/>
                <wp:docPr id="1073741827" name="officeArt object" descr="©️"/>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197.7pt;margin-top:16.0pt;width:21.2pt;height:23.3pt;z-index:25166540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v:textbox>
                <w10:wrap type="none" side="bothSides" anchorx="margin"/>
              </v:shape>
            </w:pict>
          </mc:Fallback>
        </mc:AlternateConten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房地产行业正处于一个充满机遇与挑战并存的时代。随着城市化进程的加速和人口结构的变化，住房需求持续增加，为行业发展提供了广阔的市场空间。然而，同时伴随着市场竞争的加剧、消费者需求的多样化以及政府调控政策的不断完善，房地产企业面临着前所未有的挑战。在这样的背景下，如何把握市场脉搏，创新业务模式，提升产品和服务质量，成为了房地产企业持续发展的关键所在。</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在这样的背景下，根据组织健康可持续发展的理论，结合大量的实地调研和组织发展案例，马亮老师及团队开发了以</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行业属性实战演练</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主题的系列沙盘，更全面的解决组织对于行业认知提升的需求。更高效改变组织中的的困局，提升在市场竞争中的企业竞争力。</w:t>
      </w:r>
    </w:p>
    <w:p>
      <w:pPr>
        <w:pStyle w:val="正文"/>
        <w:spacing w:line="312" w:lineRule="auto"/>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课程概况</w:t>
      </w:r>
      <w:r>
        <mc:AlternateContent>
          <mc:Choice Requires="wps">
            <w:drawing xmlns:a="http://schemas.openxmlformats.org/drawingml/2006/main">
              <wp:anchor distT="0" distB="0" distL="0" distR="0" simplePos="0" relativeHeight="25166643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8"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8" style="visibility:visible;position:absolute;margin-left:1.0pt;margin-top:254.3pt;width:481.9pt;height:0.0pt;z-index:25166643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0" distB="0" distL="0" distR="0" simplePos="0" relativeHeight="251667456" behindDoc="0" locked="0" layoutInCell="1" allowOverlap="1">
                <wp:simplePos x="0" y="0"/>
                <wp:positionH relativeFrom="margin">
                  <wp:posOffset>12700</wp:posOffset>
                </wp:positionH>
                <wp:positionV relativeFrom="line">
                  <wp:posOffset>295953</wp:posOffset>
                </wp:positionV>
                <wp:extent cx="6120057" cy="0"/>
                <wp:effectExtent l="0" t="0" r="0" b="0"/>
                <wp:wrapTopAndBottom distT="0" distB="0"/>
                <wp:docPr id="1073741829"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9" style="visibility:visible;position:absolute;margin-left:1.0pt;margin-top:23.3pt;width:481.9pt;height:0.0pt;z-index:25166745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沙盘模拟培训特点</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将沙盘模拟应</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1075180</wp:posOffset>
                </wp:positionV>
                <wp:extent cx="3384071" cy="1765985"/>
                <wp:effectExtent l="0" t="0" r="0" b="0"/>
                <wp:wrapThrough wrapText="bothSides" distL="152400" distR="152400">
                  <wp:wrapPolygon edited="1">
                    <wp:start x="0" y="0"/>
                    <wp:lineTo x="21600" y="0"/>
                    <wp:lineTo x="21600" y="21600"/>
                    <wp:lineTo x="0" y="21600"/>
                    <wp:lineTo x="0" y="0"/>
                  </wp:wrapPolygon>
                </wp:wrapThrough>
                <wp:docPr id="1073741830" name="officeArt object" descr="《开盘》…"/>
                <wp:cNvGraphicFramePr/>
                <a:graphic xmlns:a="http://schemas.openxmlformats.org/drawingml/2006/main">
                  <a:graphicData uri="http://schemas.microsoft.com/office/word/2010/wordprocessingShape">
                    <wps:wsp>
                      <wps:cNvSpPr txBox="1"/>
                      <wps:spPr>
                        <a:xfrm>
                          <a:off x="0" y="0"/>
                          <a:ext cx="3384071" cy="1765985"/>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《开盘》</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房地产企业经营实战演练</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wps:txbx>
                      <wps:bodyPr wrap="square" lIns="50800" tIns="50800" rIns="50800" bIns="50800" numCol="1" anchor="t">
                        <a:noAutofit/>
                      </wps:bodyPr>
                    </wps:wsp>
                  </a:graphicData>
                </a:graphic>
              </wp:anchor>
            </w:drawing>
          </mc:Choice>
          <mc:Fallback>
            <w:pict>
              <v:shape id="_x0000_s1030" type="#_x0000_t202" style="visibility:visible;position:absolute;margin-left:56.7pt;margin-top:84.7pt;width:266.5pt;height:139.1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《开盘》</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房地产企业经营实战演练</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v:textbox>
                <w10:wrap type="through" side="bothSides" anchorx="page" anchory="page"/>
              </v:shape>
            </w:pict>
          </mc:Fallback>
        </mc:AlternateContent>
      </w:r>
      <w:r>
        <w:drawing xmlns:a="http://schemas.openxmlformats.org/drawingml/2006/main">
          <wp:anchor distT="152400" distB="152400" distL="152400" distR="152400" simplePos="0" relativeHeight="251664384" behindDoc="0" locked="0" layoutInCell="1" allowOverlap="1">
            <wp:simplePos x="0" y="0"/>
            <wp:positionH relativeFrom="page">
              <wp:posOffset>1603339</wp:posOffset>
            </wp:positionH>
            <wp:positionV relativeFrom="page">
              <wp:posOffset>2297440</wp:posOffset>
            </wp:positionV>
            <wp:extent cx="162235" cy="162278"/>
            <wp:effectExtent l="0" t="0" r="0" b="0"/>
            <wp:wrapNone/>
            <wp:docPr id="1073741831" name="officeArt object" descr="屏幕快照 2020-03-07 20.18.22.png"/>
            <wp:cNvGraphicFramePr/>
            <a:graphic xmlns:a="http://schemas.openxmlformats.org/drawingml/2006/main">
              <a:graphicData uri="http://schemas.openxmlformats.org/drawingml/2006/picture">
                <pic:pic xmlns:pic="http://schemas.openxmlformats.org/drawingml/2006/picture">
                  <pic:nvPicPr>
                    <pic:cNvPr id="1073741831" name="屏幕快照 2020-03-07 20.18.22.png" descr="屏幕快照 2020-03-07 20.18.22.png"/>
                    <pic:cNvPicPr>
                      <a:picLocks noChangeAspect="1"/>
                    </pic:cNvPicPr>
                  </pic:nvPicPr>
                  <pic:blipFill>
                    <a:blip r:embed="rId5">
                      <a:extLst/>
                    </a:blip>
                    <a:srcRect l="19409" t="5449" r="17796" b="28094"/>
                    <a:stretch>
                      <a:fillRect/>
                    </a:stretch>
                  </pic:blipFill>
                  <pic:spPr>
                    <a:xfrm>
                      <a:off x="0" y="0"/>
                      <a:ext cx="162235" cy="162278"/>
                    </a:xfrm>
                    <a:custGeom>
                      <a:avLst/>
                      <a:gdLst/>
                      <a:ahLst/>
                      <a:cxnLst>
                        <a:cxn ang="0">
                          <a:pos x="wd2" y="hd2"/>
                        </a:cxn>
                        <a:cxn ang="5400000">
                          <a:pos x="wd2" y="hd2"/>
                        </a:cxn>
                        <a:cxn ang="10800000">
                          <a:pos x="wd2" y="hd2"/>
                        </a:cxn>
                        <a:cxn ang="16200000">
                          <a:pos x="wd2" y="hd2"/>
                        </a:cxn>
                      </a:cxnLst>
                      <a:rect l="0" t="0" r="r" b="b"/>
                      <a:pathLst>
                        <a:path w="19678" h="20595" fill="norm" stroke="1" extrusionOk="0">
                          <a:moveTo>
                            <a:pt x="9815" y="0"/>
                          </a:moveTo>
                          <a:cubicBezTo>
                            <a:pt x="7296" y="0"/>
                            <a:pt x="4805" y="1011"/>
                            <a:pt x="2883" y="3022"/>
                          </a:cubicBezTo>
                          <a:cubicBezTo>
                            <a:pt x="-961" y="7044"/>
                            <a:pt x="-961" y="13556"/>
                            <a:pt x="2883" y="17578"/>
                          </a:cubicBezTo>
                          <a:cubicBezTo>
                            <a:pt x="6727" y="21600"/>
                            <a:pt x="12951" y="21600"/>
                            <a:pt x="16795" y="17578"/>
                          </a:cubicBezTo>
                          <a:cubicBezTo>
                            <a:pt x="20639" y="13556"/>
                            <a:pt x="20639" y="7044"/>
                            <a:pt x="16795" y="3022"/>
                          </a:cubicBezTo>
                          <a:cubicBezTo>
                            <a:pt x="14873" y="1011"/>
                            <a:pt x="12334" y="0"/>
                            <a:pt x="9815" y="0"/>
                          </a:cubicBezTo>
                          <a:close/>
                        </a:path>
                      </a:pathLst>
                    </a:custGeom>
                    <a:ln w="12700" cap="flat">
                      <a:noFill/>
                      <a:miter lim="400000"/>
                    </a:ln>
                    <a:effectLst/>
                  </pic:spPr>
                </pic:pic>
              </a:graphicData>
            </a:graphic>
          </wp:anchor>
        </w:drawing>
      </w:r>
      <w:r>
        <w:rPr>
          <w:rFonts w:ascii="Arial Unicode MS" w:cs="Arial Unicode MS" w:hAnsi="Arial Unicode MS" w:eastAsia="Arial Unicode MS" w:hint="eastAsia"/>
          <w:b w:val="0"/>
          <w:bCs w:val="0"/>
          <w:i w:val="0"/>
          <w:iCs w:val="0"/>
          <w:rtl w:val="0"/>
          <w:lang w:val="zh-CN" w:eastAsia="zh-CN"/>
        </w:rPr>
        <w:t>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ascii="Arial Unicode MS" w:cs="Arial Unicode MS" w:hAnsi="Arial Unicode MS" w:eastAsia="Arial Unicode MS" w:hint="eastAsia"/>
          <w:b w:val="0"/>
          <w:bCs w:val="0"/>
          <w:i w:val="0"/>
          <w:iCs w:val="0"/>
          <w:rtl w:val="0"/>
          <w:lang w:val="zh-CN" w:eastAsia="zh-CN"/>
        </w:rPr>
        <w:t>来自于读到、</w:t>
      </w:r>
      <w:r>
        <w:rPr>
          <w:rFonts w:ascii="Helvetica Neue" w:hAnsi="Helvetica Neue"/>
          <w:rtl w:val="0"/>
          <w:lang w:val="zh-CN" w:eastAsia="zh-CN"/>
        </w:rPr>
        <w:t>20%</w:t>
      </w:r>
      <w:r>
        <w:rPr>
          <w:rFonts w:ascii="Arial Unicode MS" w:cs="Arial Unicode MS" w:hAnsi="Arial Unicode MS" w:eastAsia="Arial Unicode MS" w:hint="eastAsia"/>
          <w:b w:val="0"/>
          <w:bCs w:val="0"/>
          <w:i w:val="0"/>
          <w:iCs w:val="0"/>
          <w:rtl w:val="0"/>
          <w:lang w:val="zh-CN" w:eastAsia="zh-CN"/>
        </w:rPr>
        <w:t>来自于听到、</w:t>
      </w:r>
      <w:r>
        <w:rPr>
          <w:rFonts w:ascii="Helvetica Neue" w:hAnsi="Helvetica Neue"/>
          <w:rtl w:val="0"/>
          <w:lang w:val="zh-CN" w:eastAsia="zh-CN"/>
        </w:rPr>
        <w:t>70%</w:t>
      </w:r>
      <w:r>
        <w:rPr>
          <w:rFonts w:ascii="Arial Unicode MS" w:cs="Arial Unicode MS" w:hAnsi="Arial Unicode MS" w:eastAsia="Arial Unicode MS" w:hint="eastAsia"/>
          <w:b w:val="0"/>
          <w:bCs w:val="0"/>
          <w:i w:val="0"/>
          <w:iCs w:val="0"/>
          <w:rtl w:val="0"/>
          <w:lang w:val="zh-CN" w:eastAsia="zh-CN"/>
        </w:rPr>
        <w:t>来自于对错误的反思。</w:t>
      </w:r>
    </w:p>
    <w:p>
      <w:pPr>
        <w:pStyle w:val="正文"/>
        <w:spacing w:line="312" w:lineRule="auto"/>
        <w:ind w:firstLine="454"/>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适合行业及适合对象</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地产行业从业者，管培生、骨干员工</w:t>
      </w:r>
    </w:p>
    <w:p>
      <w:pPr>
        <w:pStyle w:val="正文"/>
        <w:spacing w:line="312" w:lineRule="auto"/>
        <w:ind w:firstLine="454"/>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课程收益</w:t>
      </w:r>
      <w:r>
        <mc:AlternateContent>
          <mc:Choice Requires="wps">
            <w:drawing xmlns:a="http://schemas.openxmlformats.org/drawingml/2006/main">
              <wp:anchor distT="0" distB="0" distL="0" distR="0" simplePos="0" relativeHeight="251663360" behindDoc="0" locked="0" layoutInCell="1" allowOverlap="1">
                <wp:simplePos x="0" y="0"/>
                <wp:positionH relativeFrom="margin">
                  <wp:posOffset>12700</wp:posOffset>
                </wp:positionH>
                <wp:positionV relativeFrom="line">
                  <wp:posOffset>284560</wp:posOffset>
                </wp:positionV>
                <wp:extent cx="6120057" cy="0"/>
                <wp:effectExtent l="0" t="0" r="0" b="0"/>
                <wp:wrapTopAndBottom distT="0" distB="0"/>
                <wp:docPr id="1073741832"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1" style="visibility:visible;position:absolute;margin-left:1.0pt;margin-top:22.4pt;width:481.9pt;height:0.0pt;z-index:25166336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学员收益</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提升管理团队的整体素质和专业能力，增强企业的核心竞争力。</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优化管理流程，提高企业运营效率和服务质量。</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加强团队建设，促进内部沟通与协作，形成积极向上的企业文化。</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培养具有前瞻性思维的管理人才，为企业的长远发展奠定坚实的基础。</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组织收益</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掌握现代房地产管理的核心理念和方法，提升个人职业素养。</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增强市场分析、风险控制和决策制定的能力，有效应对复杂多变的市场环境。</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学习先进的团队管理和领导技巧，提高团队凝聚力和执行力。</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通过案例分析和实战模拟，加深对理论知识的理解和应用，提升解决实际问题的能力。</w:t>
      </w:r>
    </w:p>
    <w:p>
      <w:pPr>
        <w:pStyle w:val="正文"/>
        <w:spacing w:line="312" w:lineRule="auto"/>
        <w:ind w:firstLine="454"/>
        <w:jc w:val="left"/>
      </w:pPr>
    </w:p>
    <w:p>
      <w:pPr>
        <w:pStyle w:val="正文"/>
        <w:spacing w:line="312" w:lineRule="auto"/>
        <w:ind w:firstLine="454"/>
        <w:jc w:val="left"/>
      </w:pPr>
    </w:p>
    <w:p>
      <w:pPr>
        <w:pStyle w:val="正文"/>
        <w:spacing w:line="312" w:lineRule="auto"/>
        <w:ind w:firstLine="454"/>
        <w:jc w:val="left"/>
        <w:rPr>
          <w:sz w:val="24"/>
          <w:szCs w:val="24"/>
        </w:rPr>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课程大纲</w:t>
      </w:r>
      <w:r>
        <w:rPr>
          <w:sz w:val="32"/>
          <w:szCs w:val="3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3"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2" style="visibility:visible;position:absolute;margin-left:1.0pt;margin-top:24.5pt;width:481.9pt;height:0.0pt;z-index:25166233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第一</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课程导入</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用户思维概述：</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时代背景；</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房地产市场分析与趋势预测</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当前房地产市场概况</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宏观经济与房地产市场的关系未来房地产市场发展趋势预测</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用户思维；</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用户思维的基本概念：定义、特点和原则。</w:t>
      </w:r>
      <w:r>
        <w:rPr>
          <w:rFonts w:ascii="Helvetica Neue" w:hAnsi="Helvetica Neue"/>
          <w:rtl w:val="0"/>
        </w:rPr>
        <w:t xml:space="preserve"> </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用户研究方法：定性研究、定量研究、用户访谈等。</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需求分析与产品设计：如何从用户需求中提炼出产品功能和界面设计。</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用户体验测试与迭代：如何评估用户体验，以及如何通过迭代优化产品。</w:t>
      </w:r>
      <w:r>
        <w:rPr>
          <w:rFonts w:ascii="Helvetica Neue" w:hAnsi="Helvetica Neue"/>
          <w:rtl w:val="0"/>
        </w:rPr>
        <w:t xml:space="preserve"> </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竞争对手鞭策创新；</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多数人认为的行业的</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终局</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，其实只是</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中局</w:t>
      </w:r>
      <w:r>
        <w:rPr>
          <w:rFonts w:ascii="Helvetica Neue" w:hAnsi="Helvetica Neue" w:hint="default"/>
          <w:rtl w:val="0"/>
          <w:lang w:val="zh-CN" w:eastAsia="zh-CN"/>
        </w:rPr>
        <w:t>”</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激流勇进的时代，跟不上变革的结果不是变慢，而是</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翻船</w:t>
      </w:r>
      <w:r>
        <w:rPr>
          <w:rFonts w:ascii="Helvetica Neue" w:hAnsi="Helvetica Neue" w:hint="default"/>
          <w:rtl w:val="0"/>
          <w:lang w:val="zh-CN" w:eastAsia="zh-CN"/>
        </w:rPr>
        <w:t>”</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家门口的</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野蛮人</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，终结一家企业的，可能不是被超越，而是赛道消失</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本章案例：</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自然界的启示：熊和熊猫型员工的区别</w:t>
      </w:r>
    </w:p>
    <w:p>
      <w:pPr>
        <w:pStyle w:val="正文"/>
        <w:spacing w:line="312" w:lineRule="auto"/>
        <w:jc w:val="left"/>
      </w:pPr>
    </w:p>
    <w:p>
      <w:pPr>
        <w:pStyle w:val="正文"/>
        <w:spacing w:line="312" w:lineRule="auto"/>
        <w:jc w:val="left"/>
        <w:rPr>
          <w:b w:val="1"/>
          <w:bCs w:val="1"/>
        </w:rPr>
      </w:pPr>
    </w:p>
    <w:p>
      <w:pPr>
        <w:pStyle w:val="正文"/>
        <w:spacing w:line="312" w:lineRule="auto"/>
        <w:jc w:val="left"/>
        <w:rPr>
          <w:b w:val="1"/>
          <w:bCs w:val="1"/>
        </w:rPr>
      </w:pP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第二</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《开盘》沙盘推演</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第一阶段：</w:t>
      </w:r>
      <w:r>
        <w:rPr>
          <w:rFonts w:ascii="Helvetica Neue" w:hAnsi="Helvetica Neue"/>
          <w:b w:val="1"/>
          <w:bCs w:val="1"/>
          <w:rtl w:val="0"/>
          <w:lang w:val="zh-CN" w:eastAsia="zh-CN"/>
        </w:rPr>
        <w:t>1</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3</w:t>
      </w:r>
      <w:r>
        <w:rPr>
          <w:rFonts w:ascii="Arial Unicode MS" w:cs="Arial Unicode MS" w:hAnsi="Arial Unicode MS" w:eastAsia="Arial Unicode MS" w:hint="eastAsia"/>
          <w:b w:val="0"/>
          <w:bCs w:val="0"/>
          <w:i w:val="0"/>
          <w:iCs w:val="0"/>
          <w:rtl w:val="0"/>
          <w:lang w:val="zh-CN" w:eastAsia="zh-CN"/>
        </w:rPr>
        <w:t>轮，模拟早期蓝海商业环境的特点和场景</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讲解规则带教推演</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角色划分：舰队司令、舵手、工程师、防御官、财务官等。</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关键资源：岛屿、辅助设施、舰队、防御。</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市场分析：航向、防御力量、辅助设施发挥作用。</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战略决策：市场方针、经营目标、联盟策略等。</w:t>
      </w: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一阶段分享主题：房地产项目管理及营销策略</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项目策划与定位</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项目管理流程与关键节点控制</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成本控制与风险管理</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第二阶段：</w:t>
      </w:r>
      <w:r>
        <w:rPr>
          <w:rFonts w:ascii="Helvetica Neue" w:hAnsi="Helvetica Neue"/>
          <w:b w:val="1"/>
          <w:bCs w:val="1"/>
          <w:rtl w:val="0"/>
          <w:lang w:val="zh-CN" w:eastAsia="zh-CN"/>
        </w:rPr>
        <w:t>4</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6</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市场细分与目标客户定位</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产品差异化与品牌建设</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数字营销与传统营销的结合</w:t>
      </w:r>
    </w:p>
    <w:p>
      <w:pPr>
        <w:pStyle w:val="正文"/>
        <w:spacing w:line="312" w:lineRule="auto"/>
        <w:jc w:val="left"/>
        <w:rPr>
          <w:b w:val="1"/>
          <w:bCs w:val="1"/>
        </w:rPr>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二阶段分享主题：通过用户思维建立商业壁垒</w:t>
      </w:r>
    </w:p>
    <w:p>
      <w:pPr>
        <w:pStyle w:val="正文"/>
        <w:spacing w:line="312" w:lineRule="auto"/>
        <w:jc w:val="left"/>
      </w:pPr>
      <w:r>
        <w:rPr>
          <w:rFonts w:ascii="Helvetica Neue" w:hAnsi="Helvetica Neue"/>
          <w:rtl w:val="0"/>
          <w:lang w:val="zh-CN" w:eastAsia="zh-CN"/>
        </w:rPr>
        <w:t>1</w:t>
      </w:r>
      <w:r>
        <w:rPr>
          <w:rFonts w:ascii="Arial Unicode MS" w:cs="Arial Unicode MS" w:hAnsi="Arial Unicode MS" w:eastAsia="Arial Unicode MS" w:hint="eastAsia"/>
          <w:b w:val="0"/>
          <w:bCs w:val="0"/>
          <w:i w:val="0"/>
          <w:iCs w:val="0"/>
          <w:rtl w:val="0"/>
          <w:lang w:val="zh-CN" w:eastAsia="zh-CN"/>
        </w:rPr>
        <w:t>、通过一段时间探索发现，各小组分别建立了自己的竞争优势，但如何才能吸引这片区域中更多的用户，让他们的需求可以得到满足，摆在了各小组面前。</w:t>
      </w:r>
    </w:p>
    <w:p>
      <w:pPr>
        <w:pStyle w:val="正文"/>
        <w:spacing w:line="312" w:lineRule="auto"/>
        <w:jc w:val="left"/>
      </w:pPr>
      <w:r>
        <w:rPr>
          <w:rFonts w:ascii="Helvetica Neue" w:hAnsi="Helvetica Neue"/>
          <w:rtl w:val="0"/>
          <w:lang w:val="zh-CN" w:eastAsia="zh-CN"/>
        </w:rPr>
        <w:t>2</w:t>
      </w:r>
      <w:r>
        <w:rPr>
          <w:rFonts w:ascii="Arial Unicode MS" w:cs="Arial Unicode MS" w:hAnsi="Arial Unicode MS" w:eastAsia="Arial Unicode MS" w:hint="eastAsia"/>
          <w:b w:val="0"/>
          <w:bCs w:val="0"/>
          <w:i w:val="0"/>
          <w:iCs w:val="0"/>
          <w:rtl w:val="0"/>
          <w:lang w:val="zh-CN" w:eastAsia="zh-CN"/>
        </w:rPr>
        <w:t>、在推演中，思维和理念不断的变化，将用防御设施来建立壁垒的传统思维转化为更好的理解用户的需求并能满足用户需求的思维和理念。</w:t>
      </w:r>
    </w:p>
    <w:p>
      <w:pPr>
        <w:pStyle w:val="正文"/>
        <w:spacing w:line="312" w:lineRule="auto"/>
        <w:jc w:val="left"/>
      </w:pPr>
      <w:r>
        <w:rPr>
          <w:rFonts w:ascii="Helvetica Neue" w:hAnsi="Helvetica Neue"/>
          <w:rtl w:val="0"/>
          <w:lang w:val="zh-CN" w:eastAsia="zh-CN"/>
        </w:rPr>
        <w:t>3</w:t>
      </w:r>
      <w:r>
        <w:rPr>
          <w:rFonts w:ascii="Arial Unicode MS" w:cs="Arial Unicode MS" w:hAnsi="Arial Unicode MS" w:eastAsia="Arial Unicode MS" w:hint="eastAsia"/>
          <w:b w:val="0"/>
          <w:bCs w:val="0"/>
          <w:i w:val="0"/>
          <w:iCs w:val="0"/>
          <w:rtl w:val="0"/>
          <w:lang w:val="zh-CN" w:eastAsia="zh-CN"/>
        </w:rPr>
        <w:t>、从短期和长期的角度看，用户思维的优劣势分析。</w:t>
      </w:r>
    </w:p>
    <w:p>
      <w:pPr>
        <w:pStyle w:val="正文"/>
        <w:spacing w:line="312" w:lineRule="auto"/>
        <w:jc w:val="left"/>
      </w:pP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第三阶段：</w:t>
      </w:r>
      <w:r>
        <w:rPr>
          <w:rFonts w:ascii="Helvetica Neue" w:hAnsi="Helvetica Neue"/>
          <w:b w:val="1"/>
          <w:bCs w:val="1"/>
          <w:rtl w:val="0"/>
          <w:lang w:val="zh-CN" w:eastAsia="zh-CN"/>
        </w:rPr>
        <w:t>7</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10</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高效团队建设的原则与方法</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w:t>
      </w:r>
      <w:r>
        <w:rPr>
          <w:rFonts w:ascii="Arial Unicode MS" w:cs="Arial Unicode MS" w:hAnsi="Arial Unicode MS" w:eastAsia="Arial Unicode MS" w:hint="eastAsia"/>
          <w:b w:val="0"/>
          <w:bCs w:val="0"/>
          <w:i w:val="0"/>
          <w:iCs w:val="0"/>
          <w:rtl w:val="0"/>
          <w:lang w:val="zh-CN" w:eastAsia="zh-CN"/>
        </w:rPr>
        <w:t>领导力理论与实践</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冲突解决与沟通技巧</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三阶段复盘总结</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用户思维较传统思维模式区别</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推进用户思维的困境和障碍</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行动计划</w:t>
      </w:r>
      <w:r/>
    </w:p>
    <w:sectPr>
      <w:headerReference w:type="default" r:id="rId6"/>
      <w:footerReference w:type="default" r:id="rId7"/>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项目符号"/>
  </w:abstractNum>
  <w:abstractNum w:abstractNumId="1">
    <w:multiLevelType w:val="hybridMultilevel"/>
    <w:styleLink w:val="项目符号"/>
    <w:lvl w:ilvl="0">
      <w:start w:val="1"/>
      <w:numFmt w:val="bullet"/>
      <w:suff w:val="tab"/>
      <w:lvlText w:val="•"/>
      <w:lvlJc w:val="left"/>
      <w:pPr>
        <w:tabs>
          <w:tab w:val="num"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num"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num"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num"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num"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num"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num"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num"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num"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编号"/>
  </w:abstractNum>
  <w:abstractNum w:abstractNumId="3">
    <w:multiLevelType w:val="hybridMultilevel"/>
    <w:styleLink w:val="编号"/>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正文">
    <w:name w:val="正文"/>
    <w:next w:val="正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2"/>
      <w:szCs w:val="22"/>
      <w:u w:val="none"/>
      <w:shd w:val="nil" w:color="auto" w:fill="auto"/>
      <w:vertAlign w:val="baseline"/>
      <w:lang w:val="zh-CN" w:eastAsia="zh-CN"/>
      <w14:textOutline>
        <w14:noFill/>
      </w14:textOutline>
      <w14:textFill>
        <w14:solidFill>
          <w14:srgbClr w14:val="000000"/>
        </w14:solidFill>
      </w14:textFill>
    </w:rPr>
  </w:style>
  <w:style w:type="numbering" w:styleId="项目符号">
    <w:name w:val="项目符号"/>
    <w:pPr>
      <w:numPr>
        <w:numId w:val="1"/>
      </w:numPr>
    </w:pPr>
  </w:style>
  <w:style w:type="numbering" w:styleId="编号">
    <w:name w:val="编号"/>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