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eg"/>
            <wp:cNvGraphicFramePr/>
            <a:graphic xmlns:a="http://schemas.openxmlformats.org/drawingml/2006/main">
              <a:graphicData uri="http://schemas.openxmlformats.org/drawingml/2006/picture">
                <pic:pic xmlns:pic="http://schemas.openxmlformats.org/drawingml/2006/picture">
                  <pic:nvPicPr>
                    <pic:cNvPr id="1073741825" name="208.jpeg" descr="208.jpe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6432" behindDoc="0" locked="0" layoutInCell="1" allowOverlap="1">
                <wp:simplePos x="0" y="0"/>
                <wp:positionH relativeFrom="margin">
                  <wp:posOffset>2510762</wp:posOffset>
                </wp:positionH>
                <wp:positionV relativeFrom="line">
                  <wp:posOffset>202780</wp:posOffset>
                </wp:positionV>
                <wp:extent cx="268881" cy="295866"/>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197.7pt;margin-top:16.0pt;width:21.2pt;height:23.3pt;z-index:25166643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创新，是组织的活力，是企业发展的动力，也是应对环境变化，不断适应的必要能力。</w:t>
      </w:r>
    </w:p>
    <w:p>
      <w:pPr>
        <w:pStyle w:val="正文"/>
        <w:spacing w:line="312" w:lineRule="auto"/>
        <w:ind w:firstLine="454"/>
        <w:jc w:val="left"/>
        <w:rPr>
          <w:b w:val="1"/>
          <w:bCs w:val="1"/>
        </w:rPr>
      </w:pPr>
      <w:r>
        <w:rPr>
          <w:rFonts w:ascii="Arial Unicode MS" w:cs="Arial Unicode MS" w:hAnsi="Arial Unicode MS" w:eastAsia="Arial Unicode MS" w:hint="eastAsia"/>
          <w:b w:val="0"/>
          <w:bCs w:val="0"/>
          <w:i w:val="0"/>
          <w:iCs w:val="0"/>
          <w:rtl w:val="0"/>
          <w:lang w:val="zh-CN" w:eastAsia="zh-CN"/>
        </w:rPr>
        <w:t>首先：创新不是</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基因突变的</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随机的过程，而是有清晰的方向的</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进化</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过程。</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商业环境中的创新，有很多的误区，这些误区会让创新变的没有可以依赖的途径，</w:t>
      </w:r>
      <w:r>
        <w:rPr>
          <w:rFonts w:ascii="Arial Unicode MS" w:cs="Arial Unicode MS" w:hAnsi="Arial Unicode MS" w:eastAsia="Arial Unicode MS" w:hint="eastAsia"/>
          <w:b w:val="0"/>
          <w:bCs w:val="0"/>
          <w:i w:val="0"/>
          <w:iCs w:val="0"/>
          <w:rtl w:val="0"/>
          <w:lang w:val="zh-CN" w:eastAsia="zh-CN"/>
        </w:rPr>
        <w:t>最后都归于难以捕捉的幻影，靠创意、灵感、头脑风暴、意外等灵光乍现，然后告诉企业和管理者要创造一个开放、轻松、活泼、宽松、包容的环境，让大家能有更多的灵感。</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本质上，这都是将创新归于随机过程。</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基于此，让创新发生发展的方法，就是给这种随机过程提供</w:t>
      </w:r>
      <w:r>
        <w:rPr>
          <w:rFonts w:ascii="Arial Unicode MS" w:cs="Arial Unicode MS" w:hAnsi="Arial Unicode MS" w:eastAsia="Arial Unicode MS" w:hint="eastAsia"/>
          <w:b w:val="0"/>
          <w:bCs w:val="0"/>
          <w:i w:val="0"/>
          <w:iCs w:val="0"/>
          <w:rtl w:val="0"/>
          <w:lang w:val="zh-CN" w:eastAsia="zh-CN"/>
        </w:rPr>
        <w:t>环境可以大量</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试错</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这种思想，可以说只能在极少数企业中运行，对于绝大多数企业来说，这是毒药。没有价值方向的随机过程，成功率是很低的，这样做大概率会消耗企业的资源，但不能带来明确的增值。</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虽然不创新是等死，但我们也不要因为乱创新而找死。</w:t>
      </w:r>
    </w:p>
    <w:p>
      <w:pPr>
        <w:pStyle w:val="正文"/>
        <w:spacing w:line="312" w:lineRule="auto"/>
        <w:ind w:firstLine="454"/>
        <w:jc w:val="left"/>
        <w:rPr>
          <w:b w:val="1"/>
          <w:bCs w:val="1"/>
        </w:rPr>
      </w:pP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384071" cy="1765985"/>
                <wp:effectExtent l="0" t="0" r="0" b="0"/>
                <wp:wrapThrough wrapText="bothSides" distL="152400" distR="152400">
                  <wp:wrapPolygon edited="1">
                    <wp:start x="0" y="0"/>
                    <wp:lineTo x="21600" y="0"/>
                    <wp:lineTo x="21600" y="21600"/>
                    <wp:lineTo x="0" y="21600"/>
                    <wp:lineTo x="0" y="0"/>
                  </wp:wrapPolygon>
                </wp:wrapThrough>
                <wp:docPr id="1073741828" name="officeArt object" descr="《商海奇谋》…"/>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《商海奇谋》</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组织健康系列创新力主题沙盘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266.5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《商海奇谋》</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组织健康系列创新力主题沙盘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5408" behindDoc="0" locked="0" layoutInCell="1" allowOverlap="1">
            <wp:simplePos x="0" y="0"/>
            <wp:positionH relativeFrom="page">
              <wp:posOffset>1603339</wp:posOffset>
            </wp:positionH>
            <wp:positionV relativeFrom="page">
              <wp:posOffset>2297440</wp:posOffset>
            </wp:positionV>
            <wp:extent cx="162235" cy="162278"/>
            <wp:effectExtent l="0" t="0" r="0" b="0"/>
            <wp:wrapNone/>
            <wp:docPr id="1073741829"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29"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其次：</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创新</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的事过度到</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创新力</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的人和组织。</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创新</w:t>
      </w:r>
      <w:r>
        <w:rPr>
          <w:rFonts w:ascii="Arial Unicode MS" w:cs="Arial Unicode MS" w:hAnsi="Arial Unicode MS" w:eastAsia="Arial Unicode MS" w:hint="eastAsia"/>
          <w:b w:val="0"/>
          <w:bCs w:val="0"/>
          <w:i w:val="0"/>
          <w:iCs w:val="0"/>
          <w:rtl w:val="0"/>
          <w:lang w:val="zh-CN" w:eastAsia="zh-CN"/>
        </w:rPr>
        <w:t>主体需要从</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事</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过度到</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人和组织</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。创新要走向大发展的轨道，需要的是从客体到主体的思想进化，需要从</w:t>
      </w:r>
      <w:r>
        <w:rPr>
          <w:rFonts w:ascii="Helvetica Neue" w:hAnsi="Helvetica Neue" w:hint="default"/>
          <w:rtl w:val="1"/>
          <w:lang w:val="ar-SA" w:bidi="ar-SA"/>
        </w:rPr>
        <w:t>“</w:t>
      </w:r>
      <w:r>
        <w:rPr>
          <w:rFonts w:ascii="Arial Unicode MS" w:cs="Arial Unicode MS" w:hAnsi="Arial Unicode MS" w:eastAsia="Arial Unicode MS" w:hint="eastAsia"/>
          <w:b w:val="0"/>
          <w:bCs w:val="0"/>
          <w:i w:val="0"/>
          <w:iCs w:val="0"/>
          <w:rtl w:val="0"/>
          <w:lang w:val="zh-CN" w:eastAsia="zh-CN"/>
        </w:rPr>
        <w:t>创新要怎样</w:t>
      </w:r>
      <w:r>
        <w:rPr>
          <w:rFonts w:ascii="Helvetica Neue" w:hAnsi="Helvetica Neue" w:hint="default"/>
          <w:rtl w:val="0"/>
        </w:rPr>
        <w:t>”</w:t>
      </w:r>
      <w:r>
        <w:rPr>
          <w:rFonts w:ascii="Arial Unicode MS" w:cs="Arial Unicode MS" w:hAnsi="Arial Unicode MS" w:eastAsia="Arial Unicode MS" w:hint="eastAsia"/>
          <w:b w:val="0"/>
          <w:bCs w:val="0"/>
          <w:i w:val="0"/>
          <w:iCs w:val="0"/>
          <w:rtl w:val="0"/>
          <w:lang w:val="zh-CN" w:eastAsia="zh-CN"/>
        </w:rPr>
        <w:t>到</w:t>
      </w:r>
      <w:r>
        <w:rPr>
          <w:rFonts w:ascii="Helvetica Neue" w:hAnsi="Helvetica Neue" w:hint="default"/>
          <w:rtl w:val="1"/>
          <w:lang w:val="ar-SA" w:bidi="ar-SA"/>
        </w:rPr>
        <w:t>“</w:t>
      </w:r>
      <w:r>
        <w:rPr>
          <w:rFonts w:ascii="Arial Unicode MS" w:cs="Arial Unicode MS" w:hAnsi="Arial Unicode MS" w:eastAsia="Arial Unicode MS" w:hint="eastAsia"/>
          <w:b w:val="0"/>
          <w:bCs w:val="0"/>
          <w:i w:val="0"/>
          <w:iCs w:val="0"/>
          <w:rtl w:val="0"/>
          <w:lang w:val="zh-CN" w:eastAsia="zh-CN"/>
        </w:rPr>
        <w:t>创新的人、创新的组织要怎样</w:t>
      </w:r>
      <w:r>
        <w:rPr>
          <w:rFonts w:ascii="Helvetica Neue" w:hAnsi="Helvetica Neue" w:hint="default"/>
          <w:rtl w:val="0"/>
        </w:rPr>
        <w:t>”</w:t>
      </w:r>
      <w:r>
        <w:rPr>
          <w:rFonts w:ascii="Arial Unicode MS" w:cs="Arial Unicode MS" w:hAnsi="Arial Unicode MS" w:eastAsia="Arial Unicode MS" w:hint="eastAsia"/>
          <w:b w:val="0"/>
          <w:bCs w:val="0"/>
          <w:i w:val="0"/>
          <w:iCs w:val="0"/>
          <w:rtl w:val="0"/>
          <w:lang w:val="zh-CN" w:eastAsia="zh-CN"/>
        </w:rPr>
        <w:t>的思考进化。明确了创新主体的能力标准，就可以有章可循地去选拔、培养、发展能创新的人，调整、改造和构建能创新的组织，他们就能自发地去开展有价值的创新</w:t>
      </w:r>
      <w:r>
        <w:rPr>
          <w:rFonts w:ascii="Arial Unicode MS" w:cs="Arial Unicode MS" w:hAnsi="Arial Unicode MS" w:eastAsia="Arial Unicode MS" w:hint="eastAsia"/>
          <w:b w:val="0"/>
          <w:bCs w:val="0"/>
          <w:i w:val="0"/>
          <w:iCs w:val="0"/>
          <w:rtl w:val="0"/>
          <w:lang w:val="zh-CN" w:eastAsia="zh-CN"/>
        </w:rPr>
        <w:t>。</w:t>
      </w:r>
    </w:p>
    <w:p>
      <w:pPr>
        <w:pStyle w:val="正文"/>
        <w:spacing w:line="312" w:lineRule="auto"/>
        <w:ind w:firstLine="454"/>
        <w:jc w:val="left"/>
        <w:rPr>
          <w:b w:val="1"/>
          <w:bCs w:val="1"/>
        </w:rPr>
      </w:pPr>
      <w:r>
        <w:rPr>
          <w:rFonts w:ascii="Arial Unicode MS" w:cs="Arial Unicode MS" w:hAnsi="Arial Unicode MS" w:eastAsia="Arial Unicode MS" w:hint="eastAsia"/>
          <w:b w:val="0"/>
          <w:bCs w:val="0"/>
          <w:i w:val="0"/>
          <w:iCs w:val="0"/>
          <w:rtl w:val="0"/>
          <w:lang w:val="zh-CN" w:eastAsia="zh-CN"/>
        </w:rPr>
        <w:t>最后：摆脱个人依靠组织，打造组织的竞争力</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创新型组织是有章可循的，是可以实现的，而且是未来很多企业发展的必经之路。即使是曾经依靠个人英雄得以创新成功的企业，也必将朝这个方向发展，让创新从个人英雄主义转化为组织能力。对于</w:t>
      </w:r>
      <w:r>
        <w:rPr>
          <w:rFonts w:ascii="Arial Unicode MS" w:cs="Arial Unicode MS" w:hAnsi="Arial Unicode MS" w:eastAsia="Arial Unicode MS" w:hint="eastAsia"/>
          <w:b w:val="0"/>
          <w:bCs w:val="0"/>
          <w:i w:val="0"/>
          <w:iCs w:val="0"/>
          <w:rtl w:val="0"/>
          <w:lang w:val="zh-CN" w:eastAsia="zh-CN"/>
        </w:rPr>
        <w:t>大多数企业来说，</w:t>
      </w:r>
      <w:r>
        <w:rPr>
          <w:rFonts w:ascii="Arial Unicode MS" w:cs="Arial Unicode MS" w:hAnsi="Arial Unicode MS" w:eastAsia="Arial Unicode MS" w:hint="eastAsia"/>
          <w:b w:val="0"/>
          <w:bCs w:val="0"/>
          <w:i w:val="0"/>
          <w:iCs w:val="0"/>
          <w:rtl w:val="0"/>
          <w:lang w:val="zh-CN" w:eastAsia="zh-CN"/>
        </w:rPr>
        <w:t>创新能力是可以成为长期存在的组织能力的，这种能力也是可以随着组织需要而调用的能力，具备这种能力的组织，也是市场上具备更强竞争力的组织</w:t>
      </w:r>
      <w:r>
        <w:rPr>
          <w:rFonts w:ascii="Arial Unicode MS" w:cs="Arial Unicode MS" w:hAnsi="Arial Unicode MS" w:eastAsia="Arial Unicode MS" w:hint="eastAsia"/>
          <w:b w:val="0"/>
          <w:bCs w:val="0"/>
          <w:i w:val="0"/>
          <w:iCs w:val="0"/>
          <w:rtl w:val="0"/>
          <w:lang w:val="zh-CN" w:eastAsia="zh-CN"/>
        </w:rPr>
        <w:t>。</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在这样的背景下，根据组织健康可持续发展的理论，结合大量的实地调研和组织发展案例，马亮老师及团队开发了以</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组织健康系列创新力主题</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沙盘，更全面的解决组织对于创新力的需求。更高效改变组织中的的困局，提升在市场竞争中的组织竞争力。</w:t>
      </w: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30"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54.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8480"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31"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3.3pt;width:481.9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ind w:firstLine="454"/>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课程已经</w:t>
      </w:r>
      <w:r>
        <w:rPr>
          <w:rFonts w:ascii="Arial Unicode MS" w:cs="Arial Unicode MS" w:hAnsi="Arial Unicode MS" w:eastAsia="Arial Unicode MS" w:hint="eastAsia"/>
          <w:b w:val="0"/>
          <w:bCs w:val="0"/>
          <w:i w:val="0"/>
          <w:iCs w:val="0"/>
          <w:rtl w:val="0"/>
          <w:lang w:val="zh-CN" w:eastAsia="zh-CN"/>
        </w:rPr>
        <w:t>在</w:t>
      </w:r>
      <w:r>
        <w:rPr>
          <w:rFonts w:ascii="Arial Unicode MS" w:cs="Arial Unicode MS" w:hAnsi="Arial Unicode MS" w:eastAsia="Arial Unicode MS" w:hint="eastAsia"/>
          <w:b w:val="0"/>
          <w:bCs w:val="0"/>
          <w:i w:val="0"/>
          <w:iCs w:val="0"/>
          <w:rtl w:val="0"/>
          <w:lang w:val="zh-CN" w:eastAsia="zh-CN"/>
        </w:rPr>
        <w:t>零售、地产、制药、电器、汽车、通信、</w:t>
      </w:r>
      <w:r>
        <w:rPr>
          <w:rFonts w:ascii="Helvetica Neue" w:hAnsi="Helvetica Neue"/>
          <w:rtl w:val="0"/>
        </w:rPr>
        <w:t>IT</w:t>
      </w:r>
      <w:r>
        <w:rPr>
          <w:rFonts w:ascii="Arial Unicode MS" w:cs="Arial Unicode MS" w:hAnsi="Arial Unicode MS" w:eastAsia="Arial Unicode MS" w:hint="eastAsia"/>
          <w:b w:val="0"/>
          <w:bCs w:val="0"/>
          <w:i w:val="0"/>
          <w:iCs w:val="0"/>
          <w:rtl w:val="0"/>
          <w:lang w:val="zh-CN" w:eastAsia="zh-CN"/>
        </w:rPr>
        <w:t>、快速消费品等</w:t>
      </w:r>
      <w:r>
        <w:rPr>
          <w:rFonts w:ascii="Arial Unicode MS" w:cs="Arial Unicode MS" w:hAnsi="Arial Unicode MS" w:eastAsia="Arial Unicode MS" w:hint="eastAsia"/>
          <w:b w:val="0"/>
          <w:bCs w:val="0"/>
          <w:i w:val="0"/>
          <w:iCs w:val="0"/>
          <w:rtl w:val="0"/>
          <w:lang w:val="zh-CN" w:eastAsia="zh-CN"/>
        </w:rPr>
        <w:t>多个行业经过验证，课程满意度在</w:t>
      </w:r>
      <w:r>
        <w:rPr>
          <w:rFonts w:ascii="Helvetica Neue" w:hAnsi="Helvetica Neue"/>
          <w:rtl w:val="0"/>
          <w:lang w:val="zh-CN" w:eastAsia="zh-CN"/>
        </w:rPr>
        <w:t>95%</w:t>
      </w:r>
      <w:r>
        <w:rPr>
          <w:rFonts w:ascii="Arial Unicode MS" w:cs="Arial Unicode MS" w:hAnsi="Arial Unicode MS" w:eastAsia="Arial Unicode MS" w:hint="eastAsia"/>
          <w:b w:val="0"/>
          <w:bCs w:val="0"/>
          <w:i w:val="0"/>
          <w:iCs w:val="0"/>
          <w:rtl w:val="0"/>
          <w:lang w:val="zh-CN" w:eastAsia="zh-CN"/>
        </w:rPr>
        <w:t>以上。</w:t>
      </w:r>
      <w:r>
        <w:rPr>
          <w:rFonts w:ascii="Arial Unicode MS" w:cs="Arial Unicode MS" w:hAnsi="Arial Unicode MS" w:eastAsia="Arial Unicode MS" w:hint="eastAsia"/>
          <w:b w:val="0"/>
          <w:bCs w:val="0"/>
          <w:i w:val="0"/>
          <w:iCs w:val="0"/>
          <w:rtl w:val="0"/>
          <w:lang w:val="zh-CN" w:eastAsia="zh-CN"/>
        </w:rPr>
        <w:t>众多企业的实践证明，</w:t>
      </w:r>
      <w:r>
        <w:rPr>
          <w:rFonts w:ascii="Arial Unicode MS" w:cs="Arial Unicode MS" w:hAnsi="Arial Unicode MS" w:eastAsia="Arial Unicode MS" w:hint="eastAsia"/>
          <w:b w:val="0"/>
          <w:bCs w:val="0"/>
          <w:i w:val="0"/>
          <w:iCs w:val="0"/>
          <w:rtl w:val="0"/>
          <w:lang w:val="zh-CN" w:eastAsia="zh-CN"/>
        </w:rPr>
        <w:t>《商海奇谋》</w:t>
      </w:r>
      <w:r>
        <w:rPr>
          <w:rFonts w:ascii="Arial Unicode MS" w:cs="Arial Unicode MS" w:hAnsi="Arial Unicode MS" w:eastAsia="Arial Unicode MS" w:hint="eastAsia"/>
          <w:b w:val="0"/>
          <w:bCs w:val="0"/>
          <w:i w:val="0"/>
          <w:iCs w:val="0"/>
          <w:rtl w:val="0"/>
          <w:lang w:val="zh-CN" w:eastAsia="zh-CN"/>
        </w:rPr>
        <w:t>沙盘能够</w:t>
      </w:r>
      <w:r>
        <w:rPr>
          <w:rFonts w:ascii="Arial Unicode MS" w:cs="Arial Unicode MS" w:hAnsi="Arial Unicode MS" w:eastAsia="Arial Unicode MS" w:hint="eastAsia"/>
          <w:b w:val="0"/>
          <w:bCs w:val="0"/>
          <w:i w:val="0"/>
          <w:iCs w:val="0"/>
          <w:rtl w:val="0"/>
          <w:lang w:val="zh-CN" w:eastAsia="zh-CN"/>
        </w:rPr>
        <w:t>激发学员的思考，从创新力的角度重新认知自己的岗位和行业。</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本课程适合高层管理者培训的开班仪式、年会后的创新论坛、组织成员面对变革是的创新思考、团队成员在环境变化时的适应和发展等需求。</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高层</w:t>
      </w:r>
      <w:r>
        <w:rPr>
          <w:rFonts w:ascii="Arial Unicode MS" w:cs="Arial Unicode MS" w:hAnsi="Arial Unicode MS" w:eastAsia="Arial Unicode MS" w:hint="eastAsia"/>
          <w:b w:val="0"/>
          <w:bCs w:val="0"/>
          <w:i w:val="0"/>
          <w:iCs w:val="0"/>
          <w:rtl w:val="0"/>
          <w:lang w:val="zh-CN" w:eastAsia="zh-CN"/>
        </w:rPr>
        <w:t>战略创新：从战略和商业模式的角度思考创新的意义和价值。创新的实践是需要持续不断开展的，面对环境、行业的快速迭代和创新，激发想象力，打造竞争力。</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中层管理</w:t>
      </w:r>
      <w:r>
        <w:rPr>
          <w:rFonts w:ascii="Arial Unicode MS" w:cs="Arial Unicode MS" w:hAnsi="Arial Unicode MS" w:eastAsia="Arial Unicode MS" w:hint="eastAsia"/>
          <w:b w:val="0"/>
          <w:bCs w:val="0"/>
          <w:i w:val="0"/>
          <w:iCs w:val="0"/>
          <w:rtl w:val="0"/>
          <w:lang w:val="zh-CN" w:eastAsia="zh-CN"/>
        </w:rPr>
        <w:t>创新：从中层管理者的管理理念、管理行为、管理沟通等多个方面思考创新的可能性，让学员打开思路，学会方法。</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基层思维创新：从认知层面给予基层学员思考和反馈，通过沙盘看到创新思维的价值和结果，快速的链接自己的工作，让创新成为工作中的重要选项。</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拥抱变革：通过沙盘中探索新海域的过程，让参与者感受到面对未知的时候，应该具有勇于进取的精神和态度。</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认知升级：通过沙盘推演，让团队成员感受到原有认知领域的层级，通过沙盘体验感受到：</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原来还可以这样！</w:t>
      </w:r>
      <w:r>
        <w:rPr>
          <w:rFonts w:ascii="Helvetica Neue" w:hAnsi="Helvetica Neue" w:hint="default"/>
          <w:rtl w:val="0"/>
          <w:lang w:val="zh-CN" w:eastAsia="zh-CN"/>
        </w:rPr>
        <w:t>”</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主动迭代：在沙盘推演中，感受到自己和组织发展之间的差距，认识到自己与同事的思维差距和不同，通过思维模式的不断迭代，减少在实际工作中的阻力。</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开放沟通：小组与小组之间在沙盘中的定位应该是合作关系，在合作的过程中不断感受到沟通的力量和价值，促成实际工作中的主动沟通，主动反馈的思维。</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通过模拟运营，各个职能部门需要明白，企业的资源是有限的，应该以客户的需求满足为目标，合理的分配资源，减少内部因为资源偏向而产生的冲突。</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提升组织中的大局观意识。沙盘模拟的环境需要</w:t>
      </w:r>
      <w:r>
        <w:rPr>
          <w:rFonts w:ascii="Helvetica Neue" w:hAnsi="Helvetica Neue"/>
          <w:rtl w:val="0"/>
          <w:lang w:val="zh-CN" w:eastAsia="zh-CN"/>
        </w:rPr>
        <w:t>8</w:t>
      </w:r>
      <w:r>
        <w:rPr>
          <w:rFonts w:ascii="Arial Unicode MS" w:cs="Arial Unicode MS" w:hAnsi="Arial Unicode MS" w:eastAsia="Arial Unicode MS" w:hint="eastAsia"/>
          <w:b w:val="0"/>
          <w:bCs w:val="0"/>
          <w:i w:val="0"/>
          <w:iCs w:val="0"/>
          <w:rtl w:val="0"/>
          <w:lang w:val="zh-CN" w:eastAsia="zh-CN"/>
        </w:rPr>
        <w:t>个角色紧密配合，资源流通，才能让组织的效率达到最大化。</w:t>
      </w: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3"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组织创新力的环境因素：</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时代要求的创新力；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由</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突变</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到</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进化</w:t>
      </w:r>
      <w:r>
        <w:rPr>
          <w:rFonts w:ascii="Helvetica Neue" w:hAnsi="Helvetica Neue" w:hint="default"/>
          <w:rtl w:val="0"/>
          <w:lang w:val="zh-CN" w:eastAsia="zh-CN"/>
        </w:rPr>
        <w:t>”</w:t>
      </w:r>
    </w:p>
    <w:p>
      <w:pPr>
        <w:pStyle w:val="正文"/>
        <w:numPr>
          <w:ilvl w:val="0"/>
          <w:numId w:val="6"/>
        </w:numPr>
        <w:spacing w:line="312" w:lineRule="auto"/>
        <w:jc w:val="left"/>
        <w:rPr>
          <w:lang w:val="zh-CN" w:eastAsia="zh-CN"/>
        </w:rPr>
      </w:pP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黑天鹅</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频繁起飞，</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灰犀牛</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慢慢靠近，组织需要主动迎接变化</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从事到人的创新力；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客户对产品和服务的认知在不断的提升，要求企业不断创新</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多数人认为的行业的</w:t>
      </w:r>
      <w:r>
        <w:rPr>
          <w:rFonts w:ascii="Helvetica Neue" w:hAnsi="Helvetica Neue" w:hint="default"/>
          <w:rtl w:val="1"/>
          <w:lang w:val="ar-SA" w:bidi="ar-SA"/>
        </w:rPr>
        <w:t>“</w:t>
      </w:r>
      <w:r>
        <w:rPr>
          <w:rFonts w:ascii="Arial Unicode MS" w:cs="Arial Unicode MS" w:hAnsi="Arial Unicode MS" w:eastAsia="Arial Unicode MS" w:hint="eastAsia"/>
          <w:b w:val="0"/>
          <w:bCs w:val="0"/>
          <w:i w:val="0"/>
          <w:iCs w:val="0"/>
          <w:rtl w:val="0"/>
          <w:lang w:val="zh-CN" w:eastAsia="zh-CN"/>
        </w:rPr>
        <w:t>终局</w:t>
      </w:r>
      <w:r>
        <w:rPr>
          <w:rFonts w:ascii="Helvetica Neue" w:hAnsi="Helvetica Neue" w:hint="default"/>
          <w:rtl w:val="0"/>
        </w:rPr>
        <w:t>”</w:t>
      </w:r>
      <w:r>
        <w:rPr>
          <w:rFonts w:ascii="Arial Unicode MS" w:cs="Arial Unicode MS" w:hAnsi="Arial Unicode MS" w:eastAsia="Arial Unicode MS" w:hint="eastAsia"/>
          <w:b w:val="0"/>
          <w:bCs w:val="0"/>
          <w:i w:val="0"/>
          <w:iCs w:val="0"/>
          <w:rtl w:val="0"/>
          <w:lang w:val="zh-CN" w:eastAsia="zh-CN"/>
        </w:rPr>
        <w:t>，其实只是</w:t>
      </w:r>
      <w:r>
        <w:rPr>
          <w:rFonts w:ascii="Helvetica Neue" w:hAnsi="Helvetica Neue" w:hint="default"/>
          <w:rtl w:val="1"/>
          <w:lang w:val="ar-SA" w:bidi="ar-SA"/>
        </w:rPr>
        <w:t>“</w:t>
      </w:r>
      <w:r>
        <w:rPr>
          <w:rFonts w:ascii="Arial Unicode MS" w:cs="Arial Unicode MS" w:hAnsi="Arial Unicode MS" w:eastAsia="Arial Unicode MS" w:hint="eastAsia"/>
          <w:b w:val="0"/>
          <w:bCs w:val="0"/>
          <w:i w:val="0"/>
          <w:iCs w:val="0"/>
          <w:rtl w:val="0"/>
        </w:rPr>
        <w:t>中局</w:t>
      </w:r>
      <w:r>
        <w:rPr>
          <w:rFonts w:ascii="Helvetica Neue" w:hAnsi="Helvetica Neue" w:hint="default"/>
          <w:rtl w:val="0"/>
        </w:rPr>
        <w:t>”</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客户只会追求更新更高效更匹配的产品和服务，要求企业持续创新</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从个人到组织的创新力；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英雄的创始人，并不能持续带领团队产生竞争力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创新力需要组织中各个岗位达成一致的共识</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家门口的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野蛮人</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，终结一家企业的，可能不是被超越，而是赛道消失</w:t>
      </w: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《商海奇谋》沙盘推演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讲解规则模拟推演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角色划分：舰队司令、舵手、工程师、防御官、财务官等。</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关键资源：岛屿、辅助设施、舰队、防御。</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市场分析：航向、防御力量、辅助设施发挥作用。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战略决策：市场方针、经营目标、联盟策略等。</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创新的土壤</w:t>
      </w:r>
      <w:r>
        <w:rPr>
          <w:rFonts w:ascii="Helvetica Neue" w:hAnsi="Helvetica Neue" w:hint="default"/>
          <w:b w:val="1"/>
          <w:bCs w:val="1"/>
          <w:rtl w:val="0"/>
          <w:lang w:val="zh-CN" w:eastAsia="zh-CN"/>
        </w:rPr>
        <w:t>”</w:t>
      </w:r>
      <w:r>
        <w:rPr>
          <w:rFonts w:ascii="Arial Unicode MS" w:cs="Arial Unicode MS" w:hAnsi="Arial Unicode MS" w:eastAsia="Arial Unicode MS" w:hint="eastAsia"/>
          <w:b w:val="0"/>
          <w:bCs w:val="0"/>
          <w:i w:val="0"/>
          <w:iCs w:val="0"/>
          <w:rtl w:val="0"/>
          <w:lang w:val="zh-CN" w:eastAsia="zh-CN"/>
        </w:rPr>
        <w:t>心流的力量</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将注意力集中一处，努力探索未知时的心流状态。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明确目标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拆分任务</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及时反馈</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游戏化思维中的角色分配带来的启示。</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成就型：塑造愿景，驱动执行</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社交型：提供反馈，激励人心</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刺客型：攻克难关，矫正方向</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探索型：收集信息，预测未来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目前手中资源的合理和高效利用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小组之间关系建立，联盟或攻占</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二阶段分享主题：创新力的挑战</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无人区：中国的企业已经没有可以简单模仿和复制的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参照物</w:t>
      </w:r>
      <w:r>
        <w:rPr>
          <w:rFonts w:ascii="Helvetica Neue" w:hAnsi="Helvetica Neue" w:hint="default"/>
          <w:rtl w:val="0"/>
          <w:lang w:val="zh-CN" w:eastAsia="zh-CN"/>
        </w:rPr>
        <w:t>”</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（领导力</w:t>
      </w:r>
      <w:r>
        <w:rPr>
          <w:rFonts w:ascii="Helvetica Neue" w:hAnsi="Helvetica Neue"/>
          <w:rtl w:val="0"/>
          <w:lang w:val="zh-CN" w:eastAsia="zh-CN"/>
        </w:rPr>
        <w:t>+</w:t>
      </w:r>
      <w:r>
        <w:rPr>
          <w:rFonts w:ascii="Arial Unicode MS" w:cs="Arial Unicode MS" w:hAnsi="Arial Unicode MS" w:eastAsia="Arial Unicode MS" w:hint="eastAsia"/>
          <w:b w:val="0"/>
          <w:bCs w:val="0"/>
          <w:i w:val="0"/>
          <w:iCs w:val="0"/>
          <w:rtl w:val="0"/>
          <w:lang w:val="zh-CN" w:eastAsia="zh-CN"/>
        </w:rPr>
        <w:t>执行力）</w:t>
      </w:r>
      <w:r>
        <w:rPr>
          <w:rFonts w:ascii="Helvetica Neue" w:hAnsi="Helvetica Neue"/>
          <w:rtl w:val="0"/>
          <w:lang w:val="zh-CN" w:eastAsia="zh-CN"/>
        </w:rPr>
        <w:t xml:space="preserve">X  </w:t>
      </w:r>
      <w:r>
        <w:rPr>
          <w:rFonts w:ascii="Arial Unicode MS" w:cs="Arial Unicode MS" w:hAnsi="Arial Unicode MS" w:eastAsia="Arial Unicode MS" w:hint="eastAsia"/>
          <w:b w:val="0"/>
          <w:bCs w:val="0"/>
          <w:i w:val="0"/>
          <w:iCs w:val="0"/>
          <w:rtl w:val="0"/>
          <w:lang w:val="zh-CN" w:eastAsia="zh-CN"/>
        </w:rPr>
        <w:t>创新力</w:t>
      </w:r>
      <w:r>
        <w:rPr>
          <w:rFonts w:ascii="Helvetica Neue" w:hAnsi="Helvetica Neue"/>
          <w:rtl w:val="0"/>
          <w:lang w:val="zh-CN" w:eastAsia="zh-CN"/>
        </w:rPr>
        <w:t>=</w:t>
      </w:r>
      <w:r>
        <w:rPr>
          <w:rFonts w:ascii="Arial Unicode MS" w:cs="Arial Unicode MS" w:hAnsi="Arial Unicode MS" w:eastAsia="Arial Unicode MS" w:hint="eastAsia"/>
          <w:b w:val="0"/>
          <w:bCs w:val="0"/>
          <w:i w:val="0"/>
          <w:iCs w:val="0"/>
          <w:rtl w:val="0"/>
          <w:lang w:val="zh-CN" w:eastAsia="zh-CN"/>
        </w:rPr>
        <w:t>企业竞争力</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新时代企业竞争力公式</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创新、创新者、创新力的发展过程</w:t>
      </w:r>
    </w:p>
    <w:p>
      <w:pPr>
        <w:pStyle w:val="正文"/>
        <w:numPr>
          <w:ilvl w:val="0"/>
          <w:numId w:val="9"/>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只有浅层次的想法，导致创新的误区</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误区一：头脑风暴，思维发散，创意越多越好。结果导致巨大的浪费</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误区二：人人创新，多出点子，想法越多越好。结果导致负面的影响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误区三：依赖灵感，奇思妙想，就像艺术创作。结果导致感性的决策</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误区四：元素累计，花样繁多，不断在做加法。结果导致价值的偏离</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10</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验证战略决策的效果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创新思维、行为的结果反馈</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三阶段分享主题：认知升级</w:t>
      </w:r>
      <w:r>
        <w:rPr>
          <w:rFonts w:ascii="Helvetica Neue" w:hAnsi="Helvetica Neue"/>
          <w:b w:val="1"/>
          <w:bCs w:val="1"/>
          <w:rtl w:val="0"/>
          <w:lang w:val="zh-CN" w:eastAsia="zh-CN"/>
        </w:rPr>
        <w:t xml:space="preserve">  </w:t>
      </w:r>
      <w:r>
        <w:rPr>
          <w:rFonts w:ascii="Arial Unicode MS" w:cs="Arial Unicode MS" w:hAnsi="Arial Unicode MS" w:eastAsia="Arial Unicode MS" w:hint="eastAsia"/>
          <w:b w:val="0"/>
          <w:bCs w:val="0"/>
          <w:i w:val="0"/>
          <w:iCs w:val="0"/>
          <w:rtl w:val="0"/>
          <w:lang w:val="zh-CN" w:eastAsia="zh-CN"/>
        </w:rPr>
        <w:t>拥抱变革</w:t>
      </w:r>
    </w:p>
    <w:p>
      <w:pPr>
        <w:pStyle w:val="正文"/>
        <w:numPr>
          <w:ilvl w:val="0"/>
          <w:numId w:val="10"/>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创新的定义：</w:t>
      </w:r>
      <w:r>
        <w:rPr>
          <w:rFonts w:ascii="Helvetica Neue" w:hAnsi="Helvetica Neue"/>
          <w:rtl w:val="0"/>
          <w:lang w:val="zh-CN" w:eastAsia="zh-CN"/>
        </w:rPr>
        <w:t>change for good</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第二曲线原理</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：渐进式创新和突破式创新</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创新的实践：创新力、创新成果、创新应用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认知升级拥抱变革</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认知差异的成因</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固有认知的行程过程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认知升级的三个工具：认知过程升级、认知风格升级、认知能力升级</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认知升级的四个工具：反标签化、避免盲维、全面思考、自我迭代</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拥抱变革的必备属性：反脆弱</w:t>
      </w: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课程现场</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4"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70528" behindDoc="0" locked="0" layoutInCell="1" allowOverlap="1">
            <wp:simplePos x="0" y="0"/>
            <wp:positionH relativeFrom="margin">
              <wp:posOffset>-319362</wp:posOffset>
            </wp:positionH>
            <wp:positionV relativeFrom="line">
              <wp:posOffset>2246232</wp:posOffset>
            </wp:positionV>
            <wp:extent cx="3208786" cy="1797953"/>
            <wp:effectExtent l="0" t="0" r="0" b="0"/>
            <wp:wrapThrough wrapText="bothSides" distL="152400" distR="152400">
              <wp:wrapPolygon edited="1">
                <wp:start x="0" y="0"/>
                <wp:lineTo x="0" y="21599"/>
                <wp:lineTo x="21600" y="21599"/>
                <wp:lineTo x="21600" y="0"/>
                <wp:lineTo x="0" y="0"/>
              </wp:wrapPolygon>
            </wp:wrapThrough>
            <wp:docPr id="1073741835" name="officeArt object" descr="截屏2020-12-03 15.06.47.png"/>
            <wp:cNvGraphicFramePr/>
            <a:graphic xmlns:a="http://schemas.openxmlformats.org/drawingml/2006/main">
              <a:graphicData uri="http://schemas.openxmlformats.org/drawingml/2006/picture">
                <pic:pic xmlns:pic="http://schemas.openxmlformats.org/drawingml/2006/picture">
                  <pic:nvPicPr>
                    <pic:cNvPr id="1073741835" name="截屏2020-12-03 15.06.47.png" descr="截屏2020-12-03 15.06.47.png"/>
                    <pic:cNvPicPr>
                      <a:picLocks noChangeAspect="1"/>
                    </pic:cNvPicPr>
                  </pic:nvPicPr>
                  <pic:blipFill>
                    <a:blip r:embed="rId6">
                      <a:extLst/>
                    </a:blip>
                    <a:srcRect l="0" t="0" r="394" b="0"/>
                    <a:stretch>
                      <a:fillRect/>
                    </a:stretch>
                  </pic:blipFill>
                  <pic:spPr>
                    <a:xfrm>
                      <a:off x="0" y="0"/>
                      <a:ext cx="3208786" cy="1797953"/>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71552" behindDoc="0" locked="0" layoutInCell="1" allowOverlap="1">
            <wp:simplePos x="0" y="0"/>
            <wp:positionH relativeFrom="margin">
              <wp:posOffset>3253737</wp:posOffset>
            </wp:positionH>
            <wp:positionV relativeFrom="line">
              <wp:posOffset>2291027</wp:posOffset>
            </wp:positionV>
            <wp:extent cx="3125189" cy="1727758"/>
            <wp:effectExtent l="0" t="0" r="0" b="0"/>
            <wp:wrapThrough wrapText="bothSides" distL="152400" distR="152400">
              <wp:wrapPolygon edited="1">
                <wp:start x="0" y="0"/>
                <wp:lineTo x="0" y="21598"/>
                <wp:lineTo x="21599" y="21598"/>
                <wp:lineTo x="21599" y="0"/>
                <wp:lineTo x="0" y="0"/>
              </wp:wrapPolygon>
            </wp:wrapThrough>
            <wp:docPr id="1073741836" name="officeArt object" descr="截屏2020-12-03 15.07.07.png"/>
            <wp:cNvGraphicFramePr/>
            <a:graphic xmlns:a="http://schemas.openxmlformats.org/drawingml/2006/main">
              <a:graphicData uri="http://schemas.openxmlformats.org/drawingml/2006/picture">
                <pic:pic xmlns:pic="http://schemas.openxmlformats.org/drawingml/2006/picture">
                  <pic:nvPicPr>
                    <pic:cNvPr id="1073741836" name="截屏2020-12-03 15.07.07.png" descr="截屏2020-12-03 15.07.07.png"/>
                    <pic:cNvPicPr>
                      <a:picLocks noChangeAspect="1"/>
                    </pic:cNvPicPr>
                  </pic:nvPicPr>
                  <pic:blipFill>
                    <a:blip r:embed="rId7">
                      <a:extLst/>
                    </a:blip>
                    <a:srcRect l="806" t="1428" r="0" b="1428"/>
                    <a:stretch>
                      <a:fillRect/>
                    </a:stretch>
                  </pic:blipFill>
                  <pic:spPr>
                    <a:xfrm>
                      <a:off x="0" y="0"/>
                      <a:ext cx="3125189" cy="1727758"/>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69504" behindDoc="0" locked="0" layoutInCell="1" allowOverlap="1">
            <wp:simplePos x="0" y="0"/>
            <wp:positionH relativeFrom="margin">
              <wp:posOffset>3130671</wp:posOffset>
            </wp:positionH>
            <wp:positionV relativeFrom="line">
              <wp:posOffset>405081</wp:posOffset>
            </wp:positionV>
            <wp:extent cx="3283191" cy="1765111"/>
            <wp:effectExtent l="0" t="0" r="0" b="0"/>
            <wp:wrapThrough wrapText="bothSides" distL="152400" distR="152400">
              <wp:wrapPolygon edited="1">
                <wp:start x="0" y="0"/>
                <wp:lineTo x="0" y="21602"/>
                <wp:lineTo x="21559" y="21602"/>
                <wp:lineTo x="21559" y="0"/>
                <wp:lineTo x="0" y="0"/>
              </wp:wrapPolygon>
            </wp:wrapThrough>
            <wp:docPr id="1073741837" name="officeArt object" descr="截屏2020-12-03 15.09.38.png"/>
            <wp:cNvGraphicFramePr/>
            <a:graphic xmlns:a="http://schemas.openxmlformats.org/drawingml/2006/main">
              <a:graphicData uri="http://schemas.openxmlformats.org/drawingml/2006/picture">
                <pic:pic xmlns:pic="http://schemas.openxmlformats.org/drawingml/2006/picture">
                  <pic:nvPicPr>
                    <pic:cNvPr id="1073741837" name="截屏2020-12-03 15.09.38.png" descr="截屏2020-12-03 15.09.38.png"/>
                    <pic:cNvPicPr>
                      <a:picLocks noChangeAspect="1"/>
                    </pic:cNvPicPr>
                  </pic:nvPicPr>
                  <pic:blipFill>
                    <a:blip r:embed="rId8">
                      <a:extLst/>
                    </a:blip>
                    <a:srcRect l="385" t="4827" r="0" b="0"/>
                    <a:stretch>
                      <a:fillRect/>
                    </a:stretch>
                  </pic:blipFill>
                  <pic:spPr>
                    <a:xfrm>
                      <a:off x="0" y="0"/>
                      <a:ext cx="3283191" cy="1765111"/>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72576" behindDoc="0" locked="0" layoutInCell="1" allowOverlap="1">
            <wp:simplePos x="0" y="0"/>
            <wp:positionH relativeFrom="margin">
              <wp:posOffset>-306662</wp:posOffset>
            </wp:positionH>
            <wp:positionV relativeFrom="line">
              <wp:posOffset>405612</wp:posOffset>
            </wp:positionV>
            <wp:extent cx="3437167" cy="1840621"/>
            <wp:effectExtent l="0" t="0" r="0" b="0"/>
            <wp:wrapThrough wrapText="bothSides" distL="152400" distR="152400">
              <wp:wrapPolygon edited="1">
                <wp:start x="0" y="0"/>
                <wp:lineTo x="0" y="21601"/>
                <wp:lineTo x="21601" y="21601"/>
                <wp:lineTo x="21601" y="0"/>
                <wp:lineTo x="0" y="0"/>
              </wp:wrapPolygon>
            </wp:wrapThrough>
            <wp:docPr id="1073741838" name="officeArt object" descr="截屏2020-12-03 15.06.57.png"/>
            <wp:cNvGraphicFramePr/>
            <a:graphic xmlns:a="http://schemas.openxmlformats.org/drawingml/2006/main">
              <a:graphicData uri="http://schemas.openxmlformats.org/drawingml/2006/picture">
                <pic:pic xmlns:pic="http://schemas.openxmlformats.org/drawingml/2006/picture">
                  <pic:nvPicPr>
                    <pic:cNvPr id="1073741838" name="截屏2020-12-03 15.06.57.png" descr="截屏2020-12-03 15.06.57.png"/>
                    <pic:cNvPicPr>
                      <a:picLocks noChangeAspect="1"/>
                    </pic:cNvPicPr>
                  </pic:nvPicPr>
                  <pic:blipFill>
                    <a:blip r:embed="rId9">
                      <a:extLst/>
                    </a:blip>
                    <a:srcRect l="0" t="4951" r="211" b="0"/>
                    <a:stretch>
                      <a:fillRect/>
                    </a:stretch>
                  </pic:blipFill>
                  <pic:spPr>
                    <a:xfrm>
                      <a:off x="0" y="0"/>
                      <a:ext cx="3437167" cy="1840621"/>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时间安排</w:t>
      </w:r>
      <w:r>
        <mc:AlternateContent>
          <mc:Choice Requires="wps">
            <w:drawing xmlns:a="http://schemas.openxmlformats.org/drawingml/2006/main">
              <wp:anchor distT="0" distB="0" distL="0" distR="0" simplePos="0" relativeHeight="251673600" behindDoc="0" locked="0" layoutInCell="1" allowOverlap="1">
                <wp:simplePos x="0" y="0"/>
                <wp:positionH relativeFrom="margin">
                  <wp:posOffset>12700</wp:posOffset>
                </wp:positionH>
                <wp:positionV relativeFrom="line">
                  <wp:posOffset>297919</wp:posOffset>
                </wp:positionV>
                <wp:extent cx="6120057" cy="0"/>
                <wp:effectExtent l="0" t="0" r="0" b="0"/>
                <wp:wrapTopAndBottom distT="0" distB="0"/>
                <wp:docPr id="107374183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4" style="visibility:visible;position:absolute;margin-left:1.0pt;margin-top:23.5pt;width:481.9pt;height:0.0pt;z-index:25167360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tbl>
      <w:tblPr>
        <w:tblW w:w="963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198"/>
        <w:gridCol w:w="3139"/>
        <w:gridCol w:w="4308"/>
        <w:gridCol w:w="987"/>
      </w:tblGrid>
      <w:tr>
        <w:tblPrEx>
          <w:shd w:val="clear" w:color="auto" w:fill="bdc0bf"/>
        </w:tblPrEx>
        <w:trPr>
          <w:trHeight w:val="295" w:hRule="atLeast"/>
          <w:tblHeader/>
        </w:trPr>
        <w:tc>
          <w:tcPr>
            <w:tcW w:type="dxa" w:w="1198"/>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center"/>
          </w:tcPr>
          <w:p>
            <w:pPr>
              <w:pStyle w:val="表格样式 1"/>
              <w:jc w:val="center"/>
            </w:pPr>
            <w:r>
              <w:rPr>
                <w:rFonts w:eastAsia="Helvetica Neue" w:hint="eastAsia"/>
                <w:rtl w:val="0"/>
              </w:rPr>
              <w:t>章节阶段</w:t>
            </w:r>
          </w:p>
        </w:tc>
        <w:tc>
          <w:tcPr>
            <w:tcW w:type="dxa" w:w="3138"/>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表格样式 1"/>
              <w:jc w:val="center"/>
            </w:pPr>
            <w:r>
              <w:rPr>
                <w:rFonts w:eastAsia="Helvetica Neue" w:hint="eastAsia"/>
                <w:rtl w:val="0"/>
              </w:rPr>
              <w:t>小节目标</w:t>
            </w:r>
          </w:p>
        </w:tc>
        <w:tc>
          <w:tcPr>
            <w:tcW w:type="dxa" w:w="4307"/>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表格样式 1"/>
              <w:jc w:val="center"/>
            </w:pPr>
            <w:r>
              <w:rPr>
                <w:rFonts w:eastAsia="Helvetica Neue" w:hint="eastAsia"/>
                <w:rtl w:val="0"/>
              </w:rPr>
              <w:t>分享要点</w:t>
            </w:r>
          </w:p>
        </w:tc>
        <w:tc>
          <w:tcPr>
            <w:tcW w:type="dxa" w:w="987"/>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center"/>
          </w:tcPr>
          <w:p>
            <w:pPr>
              <w:pStyle w:val="表格样式 1"/>
              <w:jc w:val="center"/>
            </w:pPr>
            <w:r>
              <w:rPr>
                <w:rFonts w:eastAsia="Helvetica Neue" w:hint="eastAsia"/>
                <w:rtl w:val="0"/>
              </w:rPr>
              <w:t>时间安排</w:t>
            </w:r>
          </w:p>
        </w:tc>
      </w:tr>
      <w:tr>
        <w:tblPrEx>
          <w:shd w:val="clear" w:color="auto" w:fill="auto"/>
        </w:tblPrEx>
        <w:trPr>
          <w:trHeight w:val="848" w:hRule="atLeast"/>
        </w:trPr>
        <w:tc>
          <w:tcPr>
            <w:tcW w:type="dxa" w:w="1198"/>
            <w:tcBorders>
              <w:top w:val="single" w:color="000000" w:sz="4"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center"/>
          </w:tcPr>
          <w:p>
            <w:pPr>
              <w:pStyle w:val="表格样式 1"/>
              <w:jc w:val="center"/>
            </w:pPr>
            <w:r>
              <w:rPr>
                <w:rFonts w:eastAsia="Helvetica Neue" w:hint="eastAsia"/>
                <w:rtl w:val="0"/>
              </w:rPr>
              <w:t>导入主题</w:t>
            </w:r>
          </w:p>
        </w:tc>
        <w:tc>
          <w:tcPr>
            <w:tcW w:type="dxa" w:w="3138"/>
            <w:tcBorders>
              <w:top w:val="single" w:color="000000" w:sz="4"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表格样式 2"/>
              <w:numPr>
                <w:ilvl w:val="0"/>
                <w:numId w:val="11"/>
              </w:numPr>
              <w:bidi w:val="0"/>
            </w:pPr>
            <w:r>
              <w:rPr>
                <w:rFonts w:ascii="Arial Unicode MS" w:cs="Arial Unicode MS" w:hAnsi="Arial Unicode MS" w:eastAsia="Arial Unicode MS" w:hint="eastAsia"/>
                <w:b w:val="0"/>
                <w:bCs w:val="0"/>
                <w:i w:val="0"/>
                <w:iCs w:val="0"/>
                <w:rtl w:val="0"/>
              </w:rPr>
              <w:t>课程主题拆解</w:t>
            </w:r>
          </w:p>
          <w:p>
            <w:pPr>
              <w:pStyle w:val="表格样式 2"/>
              <w:numPr>
                <w:ilvl w:val="0"/>
                <w:numId w:val="11"/>
              </w:numPr>
              <w:bidi w:val="0"/>
            </w:pPr>
            <w:r>
              <w:rPr>
                <w:rFonts w:ascii="Arial Unicode MS" w:cs="Arial Unicode MS" w:hAnsi="Arial Unicode MS" w:eastAsia="Arial Unicode MS" w:hint="eastAsia"/>
                <w:b w:val="0"/>
                <w:bCs w:val="0"/>
                <w:i w:val="0"/>
                <w:iCs w:val="0"/>
                <w:rtl w:val="0"/>
              </w:rPr>
              <w:t>介绍规则及推演反思</w:t>
            </w:r>
          </w:p>
          <w:p>
            <w:pPr>
              <w:pStyle w:val="表格样式 2"/>
              <w:numPr>
                <w:ilvl w:val="0"/>
                <w:numId w:val="11"/>
              </w:numPr>
              <w:bidi w:val="0"/>
            </w:pPr>
            <w:r>
              <w:rPr>
                <w:rFonts w:ascii="Helvetica Neue" w:hAnsi="Helvetica Neue" w:eastAsia="Arial Unicode MS"/>
                <w:rtl w:val="0"/>
              </w:rPr>
              <w:t>2</w:t>
            </w:r>
            <w:r>
              <w:rPr>
                <w:rFonts w:ascii="Arial Unicode MS" w:cs="Arial Unicode MS" w:hAnsi="Arial Unicode MS" w:eastAsia="Arial Unicode MS" w:hint="eastAsia"/>
                <w:b w:val="0"/>
                <w:bCs w:val="0"/>
                <w:i w:val="0"/>
                <w:iCs w:val="0"/>
                <w:rtl w:val="0"/>
              </w:rPr>
              <w:t>轮带教推演，熟悉规则及流程</w:t>
            </w:r>
          </w:p>
        </w:tc>
        <w:tc>
          <w:tcPr>
            <w:tcW w:type="dxa" w:w="4307"/>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表格样式 2"/>
              <w:numPr>
                <w:ilvl w:val="0"/>
                <w:numId w:val="12"/>
              </w:numPr>
              <w:bidi w:val="0"/>
            </w:pPr>
            <w:r>
              <w:rPr>
                <w:rFonts w:ascii="Arial Unicode MS" w:cs="Arial Unicode MS" w:hAnsi="Arial Unicode MS" w:eastAsia="Arial Unicode MS" w:hint="eastAsia"/>
                <w:b w:val="0"/>
                <w:bCs w:val="0"/>
                <w:i w:val="0"/>
                <w:iCs w:val="0"/>
                <w:rtl w:val="0"/>
              </w:rPr>
              <w:t>创新者、创新思维、创新文化的区别分析，引出主题</w:t>
            </w:r>
          </w:p>
          <w:p>
            <w:pPr>
              <w:pStyle w:val="表格样式 2"/>
              <w:numPr>
                <w:ilvl w:val="0"/>
                <w:numId w:val="12"/>
              </w:numPr>
              <w:bidi w:val="0"/>
            </w:pPr>
            <w:r>
              <w:rPr>
                <w:rFonts w:ascii="Arial Unicode MS" w:cs="Arial Unicode MS" w:hAnsi="Arial Unicode MS" w:eastAsia="Arial Unicode MS" w:hint="eastAsia"/>
                <w:b w:val="0"/>
                <w:bCs w:val="0"/>
                <w:i w:val="0"/>
                <w:iCs w:val="0"/>
                <w:rtl w:val="0"/>
              </w:rPr>
              <w:t>引导师、参与者角色定位</w:t>
            </w:r>
          </w:p>
        </w:tc>
        <w:tc>
          <w:tcPr>
            <w:tcW w:type="dxa" w:w="987"/>
            <w:tcBorders>
              <w:top w:val="single" w:color="000000" w:sz="4"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表格样式 2"/>
              <w:jc w:val="center"/>
            </w:pPr>
            <w:r>
              <w:rPr>
                <w:rFonts w:ascii="Helvetica Neue" w:hAnsi="Helvetica Neue"/>
                <w:rtl w:val="0"/>
              </w:rPr>
              <w:t>30</w:t>
            </w:r>
            <w:r>
              <w:rPr>
                <w:rFonts w:eastAsia="Helvetica Neue" w:hint="eastAsia"/>
                <w:rtl w:val="0"/>
              </w:rPr>
              <w:t>分钟</w:t>
            </w:r>
          </w:p>
        </w:tc>
      </w:tr>
      <w:tr>
        <w:tblPrEx>
          <w:shd w:val="clear" w:color="auto" w:fill="auto"/>
        </w:tblPrEx>
        <w:trPr>
          <w:trHeight w:val="851" w:hRule="atLeast"/>
        </w:trPr>
        <w:tc>
          <w:tcPr>
            <w:tcW w:type="dxa" w:w="1198"/>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center"/>
          </w:tcPr>
          <w:p>
            <w:pPr>
              <w:pStyle w:val="表格样式 1"/>
              <w:jc w:val="center"/>
            </w:pPr>
            <w:r>
              <w:rPr>
                <w:rFonts w:eastAsia="Helvetica Neue" w:hint="eastAsia"/>
                <w:rtl w:val="0"/>
              </w:rPr>
              <w:t>一阶段推演</w:t>
            </w:r>
          </w:p>
        </w:tc>
        <w:tc>
          <w:tcPr>
            <w:tcW w:type="dxa" w:w="3138"/>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表格样式 2"/>
              <w:numPr>
                <w:ilvl w:val="0"/>
                <w:numId w:val="13"/>
              </w:numPr>
              <w:bidi w:val="0"/>
            </w:pPr>
            <w:r>
              <w:rPr>
                <w:rFonts w:ascii="Arial Unicode MS" w:cs="Arial Unicode MS" w:hAnsi="Arial Unicode MS" w:eastAsia="Arial Unicode MS" w:hint="eastAsia"/>
                <w:b w:val="0"/>
                <w:bCs w:val="0"/>
                <w:i w:val="0"/>
                <w:iCs w:val="0"/>
                <w:rtl w:val="0"/>
              </w:rPr>
              <w:t>完成</w:t>
            </w:r>
            <w:r>
              <w:rPr>
                <w:rFonts w:ascii="Helvetica Neue" w:hAnsi="Helvetica Neue" w:eastAsia="Arial Unicode MS"/>
                <w:rtl w:val="0"/>
              </w:rPr>
              <w:t>1</w:t>
            </w:r>
            <w:r>
              <w:rPr>
                <w:rFonts w:ascii="Arial Unicode MS" w:cs="Arial Unicode MS" w:hAnsi="Arial Unicode MS" w:eastAsia="Arial Unicode MS" w:hint="eastAsia"/>
                <w:b w:val="0"/>
                <w:bCs w:val="0"/>
                <w:i w:val="0"/>
                <w:iCs w:val="0"/>
                <w:rtl w:val="0"/>
              </w:rPr>
              <w:t>～</w:t>
            </w:r>
            <w:r>
              <w:rPr>
                <w:rFonts w:ascii="Helvetica Neue" w:hAnsi="Helvetica Neue" w:eastAsia="Arial Unicode MS"/>
                <w:rtl w:val="0"/>
              </w:rPr>
              <w:t>3</w:t>
            </w:r>
            <w:r>
              <w:rPr>
                <w:rFonts w:ascii="Arial Unicode MS" w:cs="Arial Unicode MS" w:hAnsi="Arial Unicode MS" w:eastAsia="Arial Unicode MS" w:hint="eastAsia"/>
                <w:b w:val="0"/>
                <w:bCs w:val="0"/>
                <w:i w:val="0"/>
                <w:iCs w:val="0"/>
                <w:rtl w:val="0"/>
              </w:rPr>
              <w:t>轮沙盘推演</w:t>
            </w:r>
          </w:p>
          <w:p>
            <w:pPr>
              <w:pStyle w:val="表格样式 2"/>
              <w:numPr>
                <w:ilvl w:val="0"/>
                <w:numId w:val="13"/>
              </w:numPr>
              <w:bidi w:val="0"/>
            </w:pPr>
            <w:r>
              <w:rPr>
                <w:rFonts w:ascii="Arial Unicode MS" w:cs="Arial Unicode MS" w:hAnsi="Arial Unicode MS" w:eastAsia="Arial Unicode MS" w:hint="eastAsia"/>
                <w:b w:val="0"/>
                <w:bCs w:val="0"/>
                <w:i w:val="0"/>
                <w:iCs w:val="0"/>
                <w:rtl w:val="0"/>
              </w:rPr>
              <w:t>呈现出多种不同的推演方向</w:t>
            </w:r>
          </w:p>
          <w:p>
            <w:pPr>
              <w:pStyle w:val="表格样式 2"/>
              <w:numPr>
                <w:ilvl w:val="0"/>
                <w:numId w:val="13"/>
              </w:numPr>
              <w:bidi w:val="0"/>
            </w:pPr>
            <w:r>
              <w:rPr>
                <w:rFonts w:ascii="Arial Unicode MS" w:cs="Arial Unicode MS" w:hAnsi="Arial Unicode MS" w:eastAsia="Arial Unicode MS" w:hint="eastAsia"/>
                <w:b w:val="0"/>
                <w:bCs w:val="0"/>
                <w:i w:val="0"/>
                <w:iCs w:val="0"/>
                <w:rtl w:val="0"/>
              </w:rPr>
              <w:t>初步确定本组的战略定位</w:t>
            </w:r>
          </w:p>
        </w:tc>
        <w:tc>
          <w:tcPr>
            <w:tcW w:type="dxa" w:w="430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表格样式 2"/>
              <w:numPr>
                <w:ilvl w:val="0"/>
                <w:numId w:val="14"/>
              </w:numPr>
              <w:bidi w:val="0"/>
            </w:pPr>
            <w:r>
              <w:rPr>
                <w:rFonts w:ascii="Arial Unicode MS" w:cs="Arial Unicode MS" w:hAnsi="Arial Unicode MS" w:eastAsia="Arial Unicode MS" w:hint="eastAsia"/>
                <w:b w:val="0"/>
                <w:bCs w:val="0"/>
                <w:i w:val="0"/>
                <w:iCs w:val="0"/>
                <w:rtl w:val="0"/>
              </w:rPr>
              <w:t>创新的土壤：</w:t>
            </w:r>
            <w:r>
              <w:rPr>
                <w:rFonts w:ascii="Helvetica Neue" w:hAnsi="Helvetica Neue" w:eastAsia="Arial Unicode MS" w:hint="default"/>
                <w:rtl w:val="0"/>
              </w:rPr>
              <w:t>“</w:t>
            </w:r>
            <w:r>
              <w:rPr>
                <w:rFonts w:ascii="Arial Unicode MS" w:cs="Arial Unicode MS" w:hAnsi="Arial Unicode MS" w:eastAsia="Arial Unicode MS" w:hint="eastAsia"/>
                <w:b w:val="0"/>
                <w:bCs w:val="0"/>
                <w:i w:val="0"/>
                <w:iCs w:val="0"/>
                <w:rtl w:val="0"/>
              </w:rPr>
              <w:t>心流</w:t>
            </w:r>
            <w:r>
              <w:rPr>
                <w:rFonts w:ascii="Helvetica Neue" w:hAnsi="Helvetica Neue" w:eastAsia="Arial Unicode MS" w:hint="default"/>
                <w:rtl w:val="0"/>
              </w:rPr>
              <w:t>”</w:t>
            </w:r>
            <w:r>
              <w:rPr>
                <w:rFonts w:ascii="Arial Unicode MS" w:cs="Arial Unicode MS" w:hAnsi="Arial Unicode MS" w:eastAsia="Arial Unicode MS" w:hint="eastAsia"/>
                <w:b w:val="0"/>
                <w:bCs w:val="0"/>
                <w:i w:val="0"/>
                <w:iCs w:val="0"/>
                <w:rtl w:val="0"/>
              </w:rPr>
              <w:t>的力量</w:t>
            </w:r>
          </w:p>
          <w:p>
            <w:pPr>
              <w:pStyle w:val="表格样式 2"/>
              <w:numPr>
                <w:ilvl w:val="0"/>
                <w:numId w:val="14"/>
              </w:numPr>
              <w:bidi w:val="0"/>
            </w:pPr>
            <w:r>
              <w:rPr>
                <w:rFonts w:ascii="Arial Unicode MS" w:cs="Arial Unicode MS" w:hAnsi="Arial Unicode MS" w:eastAsia="Arial Unicode MS" w:hint="eastAsia"/>
                <w:b w:val="0"/>
                <w:bCs w:val="0"/>
                <w:i w:val="0"/>
                <w:iCs w:val="0"/>
                <w:rtl w:val="0"/>
              </w:rPr>
              <w:t>不同角色职场人的创新行为</w:t>
            </w:r>
          </w:p>
        </w:tc>
        <w:tc>
          <w:tcPr>
            <w:tcW w:type="dxa" w:w="9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center"/>
          </w:tcPr>
          <w:p>
            <w:pPr>
              <w:pStyle w:val="表格样式 2"/>
              <w:jc w:val="center"/>
            </w:pPr>
            <w:r>
              <w:rPr>
                <w:rFonts w:ascii="Helvetica Neue" w:hAnsi="Helvetica Neue"/>
                <w:rtl w:val="0"/>
              </w:rPr>
              <w:t>40</w:t>
            </w:r>
            <w:r>
              <w:rPr>
                <w:rFonts w:eastAsia="Helvetica Neue" w:hint="eastAsia"/>
                <w:rtl w:val="0"/>
              </w:rPr>
              <w:t>分钟</w:t>
            </w:r>
          </w:p>
        </w:tc>
      </w:tr>
      <w:tr>
        <w:tblPrEx>
          <w:shd w:val="clear" w:color="auto" w:fill="auto"/>
        </w:tblPrEx>
        <w:trPr>
          <w:trHeight w:val="1131" w:hRule="atLeast"/>
        </w:trPr>
        <w:tc>
          <w:tcPr>
            <w:tcW w:type="dxa" w:w="1198"/>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center"/>
          </w:tcPr>
          <w:p>
            <w:pPr>
              <w:pStyle w:val="表格样式 1"/>
              <w:jc w:val="center"/>
            </w:pPr>
            <w:r>
              <w:rPr>
                <w:rFonts w:eastAsia="Helvetica Neue" w:hint="eastAsia"/>
                <w:rtl w:val="0"/>
              </w:rPr>
              <w:t>二阶段推演</w:t>
            </w:r>
          </w:p>
        </w:tc>
        <w:tc>
          <w:tcPr>
            <w:tcW w:type="dxa" w:w="3138"/>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表格样式 2"/>
              <w:numPr>
                <w:ilvl w:val="0"/>
                <w:numId w:val="15"/>
              </w:numPr>
              <w:bidi w:val="0"/>
            </w:pPr>
            <w:r>
              <w:rPr>
                <w:rFonts w:ascii="Arial Unicode MS" w:cs="Arial Unicode MS" w:hAnsi="Arial Unicode MS" w:eastAsia="Arial Unicode MS" w:hint="eastAsia"/>
                <w:b w:val="0"/>
                <w:bCs w:val="0"/>
                <w:i w:val="0"/>
                <w:iCs w:val="0"/>
                <w:rtl w:val="0"/>
              </w:rPr>
              <w:t>完成</w:t>
            </w:r>
            <w:r>
              <w:rPr>
                <w:rFonts w:ascii="Helvetica Neue" w:hAnsi="Helvetica Neue" w:eastAsia="Arial Unicode MS"/>
                <w:rtl w:val="0"/>
              </w:rPr>
              <w:t>4</w:t>
            </w:r>
            <w:r>
              <w:rPr>
                <w:rFonts w:ascii="Arial Unicode MS" w:cs="Arial Unicode MS" w:hAnsi="Arial Unicode MS" w:eastAsia="Arial Unicode MS" w:hint="eastAsia"/>
                <w:b w:val="0"/>
                <w:bCs w:val="0"/>
                <w:i w:val="0"/>
                <w:iCs w:val="0"/>
                <w:rtl w:val="0"/>
              </w:rPr>
              <w:t>～</w:t>
            </w:r>
            <w:r>
              <w:rPr>
                <w:rFonts w:ascii="Helvetica Neue" w:hAnsi="Helvetica Neue" w:eastAsia="Arial Unicode MS"/>
                <w:rtl w:val="0"/>
              </w:rPr>
              <w:t>6</w:t>
            </w:r>
            <w:r>
              <w:rPr>
                <w:rFonts w:ascii="Arial Unicode MS" w:cs="Arial Unicode MS" w:hAnsi="Arial Unicode MS" w:eastAsia="Arial Unicode MS" w:hint="eastAsia"/>
                <w:b w:val="0"/>
                <w:bCs w:val="0"/>
                <w:i w:val="0"/>
                <w:iCs w:val="0"/>
                <w:rtl w:val="0"/>
              </w:rPr>
              <w:t>轮沙盘推演</w:t>
            </w:r>
          </w:p>
          <w:p>
            <w:pPr>
              <w:pStyle w:val="表格样式 2"/>
              <w:numPr>
                <w:ilvl w:val="0"/>
                <w:numId w:val="15"/>
              </w:numPr>
              <w:bidi w:val="0"/>
            </w:pPr>
            <w:r>
              <w:rPr>
                <w:rFonts w:ascii="Arial Unicode MS" w:cs="Arial Unicode MS" w:hAnsi="Arial Unicode MS" w:eastAsia="Arial Unicode MS" w:hint="eastAsia"/>
                <w:b w:val="0"/>
                <w:bCs w:val="0"/>
                <w:i w:val="0"/>
                <w:iCs w:val="0"/>
                <w:rtl w:val="0"/>
              </w:rPr>
              <w:t>开始和其他各组产生联动</w:t>
            </w:r>
          </w:p>
          <w:p>
            <w:pPr>
              <w:pStyle w:val="表格样式 2"/>
              <w:numPr>
                <w:ilvl w:val="0"/>
                <w:numId w:val="15"/>
              </w:numPr>
              <w:bidi w:val="0"/>
            </w:pPr>
            <w:r>
              <w:rPr>
                <w:rFonts w:ascii="Arial Unicode MS" w:cs="Arial Unicode MS" w:hAnsi="Arial Unicode MS" w:eastAsia="Arial Unicode MS" w:hint="eastAsia"/>
                <w:b w:val="0"/>
                <w:bCs w:val="0"/>
                <w:i w:val="0"/>
                <w:iCs w:val="0"/>
                <w:rtl w:val="0"/>
              </w:rPr>
              <w:t>形成资源、技术的流动</w:t>
            </w:r>
          </w:p>
        </w:tc>
        <w:tc>
          <w:tcPr>
            <w:tcW w:type="dxa" w:w="430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表格样式 2"/>
              <w:numPr>
                <w:ilvl w:val="0"/>
                <w:numId w:val="16"/>
              </w:numPr>
              <w:bidi w:val="0"/>
            </w:pPr>
            <w:r>
              <w:rPr>
                <w:rFonts w:ascii="Arial Unicode MS" w:cs="Arial Unicode MS" w:hAnsi="Arial Unicode MS" w:eastAsia="Arial Unicode MS" w:hint="eastAsia"/>
                <w:b w:val="0"/>
                <w:bCs w:val="0"/>
                <w:i w:val="0"/>
                <w:iCs w:val="0"/>
                <w:rtl w:val="0"/>
              </w:rPr>
              <w:t>创新的挑战：无人区</w:t>
            </w:r>
          </w:p>
          <w:p>
            <w:pPr>
              <w:pStyle w:val="表格样式 2"/>
              <w:numPr>
                <w:ilvl w:val="0"/>
                <w:numId w:val="16"/>
              </w:numPr>
              <w:bidi w:val="0"/>
            </w:pPr>
            <w:r>
              <w:rPr>
                <w:rFonts w:ascii="Arial Unicode MS" w:cs="Arial Unicode MS" w:hAnsi="Arial Unicode MS" w:eastAsia="Arial Unicode MS" w:hint="eastAsia"/>
                <w:b w:val="0"/>
                <w:bCs w:val="0"/>
                <w:i w:val="0"/>
                <w:iCs w:val="0"/>
                <w:rtl w:val="0"/>
              </w:rPr>
              <w:t>创新的公式：（领导力</w:t>
            </w:r>
            <w:r>
              <w:rPr>
                <w:rFonts w:ascii="Helvetica Neue" w:hAnsi="Helvetica Neue" w:eastAsia="Arial Unicode MS"/>
                <w:rtl w:val="0"/>
              </w:rPr>
              <w:t>+</w:t>
            </w:r>
            <w:r>
              <w:rPr>
                <w:rFonts w:ascii="Arial Unicode MS" w:cs="Arial Unicode MS" w:hAnsi="Arial Unicode MS" w:eastAsia="Arial Unicode MS" w:hint="eastAsia"/>
                <w:b w:val="0"/>
                <w:bCs w:val="0"/>
                <w:i w:val="0"/>
                <w:iCs w:val="0"/>
                <w:rtl w:val="0"/>
              </w:rPr>
              <w:t>执行力）</w:t>
            </w:r>
            <w:r>
              <w:rPr>
                <w:rFonts w:ascii="Helvetica Neue" w:hAnsi="Helvetica Neue" w:eastAsia="Arial Unicode MS"/>
                <w:rtl w:val="0"/>
              </w:rPr>
              <w:t>X</w:t>
            </w:r>
            <w:r>
              <w:rPr>
                <w:rFonts w:ascii="Arial Unicode MS" w:cs="Arial Unicode MS" w:hAnsi="Arial Unicode MS" w:eastAsia="Arial Unicode MS" w:hint="eastAsia"/>
                <w:b w:val="0"/>
                <w:bCs w:val="0"/>
                <w:i w:val="0"/>
                <w:iCs w:val="0"/>
                <w:rtl w:val="0"/>
              </w:rPr>
              <w:t>创新力</w:t>
            </w:r>
            <w:r>
              <w:rPr>
                <w:rFonts w:ascii="Helvetica Neue" w:hAnsi="Helvetica Neue" w:eastAsia="Arial Unicode MS"/>
                <w:rtl w:val="0"/>
              </w:rPr>
              <w:t>=</w:t>
            </w:r>
            <w:r>
              <w:rPr>
                <w:rFonts w:ascii="Arial Unicode MS" w:cs="Arial Unicode MS" w:hAnsi="Arial Unicode MS" w:eastAsia="Arial Unicode MS" w:hint="eastAsia"/>
                <w:b w:val="0"/>
                <w:bCs w:val="0"/>
                <w:i w:val="0"/>
                <w:iCs w:val="0"/>
                <w:rtl w:val="0"/>
              </w:rPr>
              <w:t>企业竞争力</w:t>
            </w:r>
          </w:p>
          <w:p>
            <w:pPr>
              <w:pStyle w:val="表格样式 2"/>
              <w:numPr>
                <w:ilvl w:val="0"/>
                <w:numId w:val="16"/>
              </w:numPr>
              <w:bidi w:val="0"/>
            </w:pPr>
            <w:r>
              <w:rPr>
                <w:rFonts w:ascii="Arial Unicode MS" w:cs="Arial Unicode MS" w:hAnsi="Arial Unicode MS" w:eastAsia="Arial Unicode MS" w:hint="eastAsia"/>
                <w:b w:val="0"/>
                <w:bCs w:val="0"/>
                <w:i w:val="0"/>
                <w:iCs w:val="0"/>
                <w:rtl w:val="0"/>
              </w:rPr>
              <w:t>创新的四大误区</w:t>
            </w:r>
          </w:p>
        </w:tc>
        <w:tc>
          <w:tcPr>
            <w:tcW w:type="dxa" w:w="9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表格样式 2"/>
              <w:jc w:val="center"/>
            </w:pPr>
            <w:r>
              <w:rPr>
                <w:rFonts w:ascii="Helvetica Neue" w:hAnsi="Helvetica Neue"/>
                <w:rtl w:val="0"/>
              </w:rPr>
              <w:t>30</w:t>
            </w:r>
            <w:r>
              <w:rPr>
                <w:rFonts w:eastAsia="Helvetica Neue" w:hint="eastAsia"/>
                <w:rtl w:val="0"/>
              </w:rPr>
              <w:t>分钟</w:t>
            </w:r>
          </w:p>
        </w:tc>
      </w:tr>
      <w:tr>
        <w:tblPrEx>
          <w:shd w:val="clear" w:color="auto" w:fill="auto"/>
        </w:tblPrEx>
        <w:trPr>
          <w:trHeight w:val="851" w:hRule="atLeast"/>
        </w:trPr>
        <w:tc>
          <w:tcPr>
            <w:tcW w:type="dxa" w:w="1198"/>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center"/>
          </w:tcPr>
          <w:p>
            <w:pPr>
              <w:pStyle w:val="表格样式 1"/>
              <w:jc w:val="center"/>
            </w:pPr>
            <w:r>
              <w:rPr>
                <w:rFonts w:eastAsia="Helvetica Neue" w:hint="eastAsia"/>
                <w:rtl w:val="0"/>
              </w:rPr>
              <w:t>三阶段推演</w:t>
            </w:r>
          </w:p>
        </w:tc>
        <w:tc>
          <w:tcPr>
            <w:tcW w:type="dxa" w:w="3138"/>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表格样式 2"/>
              <w:numPr>
                <w:ilvl w:val="0"/>
                <w:numId w:val="17"/>
              </w:numPr>
              <w:bidi w:val="0"/>
            </w:pPr>
            <w:r>
              <w:rPr>
                <w:rFonts w:ascii="Arial Unicode MS" w:cs="Arial Unicode MS" w:hAnsi="Arial Unicode MS" w:eastAsia="Arial Unicode MS" w:hint="eastAsia"/>
                <w:b w:val="0"/>
                <w:bCs w:val="0"/>
                <w:i w:val="0"/>
                <w:iCs w:val="0"/>
                <w:rtl w:val="0"/>
              </w:rPr>
              <w:t>完成</w:t>
            </w:r>
            <w:r>
              <w:rPr>
                <w:rFonts w:ascii="Helvetica Neue" w:hAnsi="Helvetica Neue" w:eastAsia="Arial Unicode MS"/>
                <w:rtl w:val="0"/>
              </w:rPr>
              <w:t>7</w:t>
            </w:r>
            <w:r>
              <w:rPr>
                <w:rFonts w:ascii="Arial Unicode MS" w:cs="Arial Unicode MS" w:hAnsi="Arial Unicode MS" w:eastAsia="Arial Unicode MS" w:hint="eastAsia"/>
                <w:b w:val="0"/>
                <w:bCs w:val="0"/>
                <w:i w:val="0"/>
                <w:iCs w:val="0"/>
                <w:rtl w:val="0"/>
              </w:rPr>
              <w:t>～</w:t>
            </w:r>
            <w:r>
              <w:rPr>
                <w:rFonts w:ascii="Helvetica Neue" w:hAnsi="Helvetica Neue" w:eastAsia="Arial Unicode MS"/>
                <w:rtl w:val="0"/>
              </w:rPr>
              <w:t>8</w:t>
            </w:r>
            <w:r>
              <w:rPr>
                <w:rFonts w:ascii="Arial Unicode MS" w:cs="Arial Unicode MS" w:hAnsi="Arial Unicode MS" w:eastAsia="Arial Unicode MS" w:hint="eastAsia"/>
                <w:b w:val="0"/>
                <w:bCs w:val="0"/>
                <w:i w:val="0"/>
                <w:iCs w:val="0"/>
                <w:rtl w:val="0"/>
              </w:rPr>
              <w:t>轮沙盘推演</w:t>
            </w:r>
          </w:p>
          <w:p>
            <w:pPr>
              <w:pStyle w:val="表格样式 2"/>
              <w:numPr>
                <w:ilvl w:val="0"/>
                <w:numId w:val="17"/>
              </w:numPr>
              <w:bidi w:val="0"/>
            </w:pPr>
            <w:r>
              <w:rPr>
                <w:rFonts w:ascii="Arial Unicode MS" w:cs="Arial Unicode MS" w:hAnsi="Arial Unicode MS" w:eastAsia="Arial Unicode MS" w:hint="eastAsia"/>
                <w:b w:val="0"/>
                <w:bCs w:val="0"/>
                <w:i w:val="0"/>
                <w:iCs w:val="0"/>
                <w:rtl w:val="0"/>
              </w:rPr>
              <w:t>感受竞争激烈市场中的生存难题</w:t>
            </w:r>
          </w:p>
          <w:p>
            <w:pPr>
              <w:pStyle w:val="表格样式 2"/>
              <w:numPr>
                <w:ilvl w:val="0"/>
                <w:numId w:val="17"/>
              </w:numPr>
              <w:bidi w:val="0"/>
            </w:pPr>
            <w:r>
              <w:rPr>
                <w:rFonts w:ascii="Arial Unicode MS" w:cs="Arial Unicode MS" w:hAnsi="Arial Unicode MS" w:eastAsia="Arial Unicode MS" w:hint="eastAsia"/>
                <w:b w:val="0"/>
                <w:bCs w:val="0"/>
                <w:i w:val="0"/>
                <w:iCs w:val="0"/>
                <w:rtl w:val="0"/>
              </w:rPr>
              <w:t>形成对不同决策的正负反馈</w:t>
            </w:r>
          </w:p>
        </w:tc>
        <w:tc>
          <w:tcPr>
            <w:tcW w:type="dxa" w:w="430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表格样式 2"/>
              <w:numPr>
                <w:ilvl w:val="0"/>
                <w:numId w:val="18"/>
              </w:numPr>
              <w:bidi w:val="0"/>
            </w:pPr>
            <w:r>
              <w:rPr>
                <w:rFonts w:ascii="Arial Unicode MS" w:cs="Arial Unicode MS" w:hAnsi="Arial Unicode MS" w:eastAsia="Arial Unicode MS" w:hint="eastAsia"/>
                <w:b w:val="0"/>
                <w:bCs w:val="0"/>
                <w:i w:val="0"/>
                <w:iCs w:val="0"/>
                <w:rtl w:val="0"/>
              </w:rPr>
              <w:t>通过得分总结各组差异</w:t>
            </w:r>
          </w:p>
          <w:p>
            <w:pPr>
              <w:pStyle w:val="表格样式 2"/>
              <w:numPr>
                <w:ilvl w:val="0"/>
                <w:numId w:val="18"/>
              </w:numPr>
              <w:bidi w:val="0"/>
            </w:pPr>
            <w:r>
              <w:rPr>
                <w:rFonts w:ascii="Arial Unicode MS" w:cs="Arial Unicode MS" w:hAnsi="Arial Unicode MS" w:eastAsia="Arial Unicode MS" w:hint="eastAsia"/>
                <w:b w:val="0"/>
                <w:bCs w:val="0"/>
                <w:i w:val="0"/>
                <w:iCs w:val="0"/>
                <w:rtl w:val="0"/>
              </w:rPr>
              <w:t>公布最优解及六大</w:t>
            </w:r>
            <w:r>
              <w:rPr>
                <w:rFonts w:ascii="Helvetica Neue" w:hAnsi="Helvetica Neue" w:eastAsia="Arial Unicode MS" w:hint="default"/>
                <w:rtl w:val="1"/>
                <w:lang w:val="ar-SA" w:bidi="ar-SA"/>
              </w:rPr>
              <w:t>“</w:t>
            </w:r>
            <w:r>
              <w:rPr>
                <w:rFonts w:ascii="Arial Unicode MS" w:cs="Arial Unicode MS" w:hAnsi="Arial Unicode MS" w:eastAsia="Arial Unicode MS" w:hint="eastAsia"/>
                <w:b w:val="0"/>
                <w:bCs w:val="0"/>
                <w:i w:val="0"/>
                <w:iCs w:val="0"/>
                <w:rtl w:val="0"/>
              </w:rPr>
              <w:t>坑</w:t>
            </w:r>
            <w:r>
              <w:rPr>
                <w:rFonts w:ascii="Helvetica Neue" w:hAnsi="Helvetica Neue" w:eastAsia="Arial Unicode MS" w:hint="default"/>
                <w:rtl w:val="0"/>
              </w:rPr>
              <w:t>”</w:t>
            </w:r>
          </w:p>
          <w:p>
            <w:pPr>
              <w:pStyle w:val="表格样式 2"/>
              <w:numPr>
                <w:ilvl w:val="0"/>
                <w:numId w:val="18"/>
              </w:numPr>
              <w:bidi w:val="0"/>
            </w:pPr>
            <w:r>
              <w:rPr>
                <w:rFonts w:ascii="Arial Unicode MS" w:cs="Arial Unicode MS" w:hAnsi="Arial Unicode MS" w:eastAsia="Arial Unicode MS" w:hint="eastAsia"/>
                <w:b w:val="0"/>
                <w:bCs w:val="0"/>
                <w:i w:val="0"/>
                <w:iCs w:val="0"/>
                <w:rtl w:val="0"/>
              </w:rPr>
              <w:t>引导沙盘元素与职场现象关联</w:t>
            </w:r>
          </w:p>
        </w:tc>
        <w:tc>
          <w:tcPr>
            <w:tcW w:type="dxa" w:w="9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center"/>
          </w:tcPr>
          <w:p>
            <w:pPr>
              <w:pStyle w:val="表格样式 2"/>
              <w:jc w:val="center"/>
            </w:pPr>
            <w:r>
              <w:rPr>
                <w:rFonts w:ascii="Helvetica Neue" w:hAnsi="Helvetica Neue"/>
                <w:rtl w:val="0"/>
              </w:rPr>
              <w:t>40</w:t>
            </w:r>
            <w:r>
              <w:rPr>
                <w:rFonts w:eastAsia="Helvetica Neue" w:hint="eastAsia"/>
                <w:rtl w:val="0"/>
              </w:rPr>
              <w:t>分钟</w:t>
            </w:r>
          </w:p>
        </w:tc>
      </w:tr>
      <w:tr>
        <w:tblPrEx>
          <w:shd w:val="clear" w:color="auto" w:fill="auto"/>
        </w:tblPrEx>
        <w:trPr>
          <w:trHeight w:val="1416" w:hRule="atLeast"/>
        </w:trPr>
        <w:tc>
          <w:tcPr>
            <w:tcW w:type="dxa" w:w="1198"/>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center"/>
          </w:tcPr>
          <w:p>
            <w:pPr>
              <w:pStyle w:val="表格样式 1"/>
              <w:jc w:val="center"/>
            </w:pPr>
            <w:r>
              <w:rPr>
                <w:rFonts w:eastAsia="Helvetica Neue" w:hint="eastAsia"/>
                <w:rtl w:val="0"/>
              </w:rPr>
              <w:t>引导师复盘</w:t>
            </w:r>
          </w:p>
        </w:tc>
        <w:tc>
          <w:tcPr>
            <w:tcW w:type="dxa" w:w="3138"/>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表格样式 2"/>
              <w:numPr>
                <w:ilvl w:val="0"/>
                <w:numId w:val="19"/>
              </w:numPr>
              <w:bidi w:val="0"/>
            </w:pPr>
            <w:r>
              <w:rPr>
                <w:rFonts w:ascii="Arial Unicode MS" w:cs="Arial Unicode MS" w:hAnsi="Arial Unicode MS" w:eastAsia="Arial Unicode MS" w:hint="eastAsia"/>
                <w:b w:val="0"/>
                <w:bCs w:val="0"/>
                <w:i w:val="0"/>
                <w:iCs w:val="0"/>
                <w:rtl w:val="0"/>
              </w:rPr>
              <w:t>深化沙盘收获与职场现象关联</w:t>
            </w:r>
          </w:p>
          <w:p>
            <w:pPr>
              <w:pStyle w:val="表格样式 2"/>
              <w:numPr>
                <w:ilvl w:val="0"/>
                <w:numId w:val="19"/>
              </w:numPr>
              <w:bidi w:val="0"/>
            </w:pPr>
            <w:r>
              <w:rPr>
                <w:rFonts w:ascii="Arial Unicode MS" w:cs="Arial Unicode MS" w:hAnsi="Arial Unicode MS" w:eastAsia="Arial Unicode MS" w:hint="eastAsia"/>
                <w:b w:val="0"/>
                <w:bCs w:val="0"/>
                <w:i w:val="0"/>
                <w:iCs w:val="0"/>
                <w:rtl w:val="0"/>
              </w:rPr>
              <w:t>强调排名、分数与成果得失关系</w:t>
            </w:r>
          </w:p>
          <w:p>
            <w:pPr>
              <w:pStyle w:val="表格样式 2"/>
              <w:numPr>
                <w:ilvl w:val="0"/>
                <w:numId w:val="19"/>
              </w:numPr>
              <w:bidi w:val="0"/>
            </w:pPr>
            <w:r>
              <w:rPr>
                <w:rFonts w:ascii="Arial Unicode MS" w:cs="Arial Unicode MS" w:hAnsi="Arial Unicode MS" w:eastAsia="Arial Unicode MS" w:hint="eastAsia"/>
                <w:b w:val="0"/>
                <w:bCs w:val="0"/>
                <w:i w:val="0"/>
                <w:iCs w:val="0"/>
                <w:rtl w:val="0"/>
              </w:rPr>
              <w:t>提出未来实践关注要点</w:t>
            </w:r>
          </w:p>
        </w:tc>
        <w:tc>
          <w:tcPr>
            <w:tcW w:type="dxa" w:w="430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表格样式 2"/>
              <w:numPr>
                <w:ilvl w:val="0"/>
                <w:numId w:val="20"/>
              </w:numPr>
              <w:bidi w:val="0"/>
            </w:pPr>
            <w:r>
              <w:rPr>
                <w:rFonts w:ascii="Arial Unicode MS" w:cs="Arial Unicode MS" w:hAnsi="Arial Unicode MS" w:eastAsia="Arial Unicode MS" w:hint="eastAsia"/>
                <w:b w:val="0"/>
                <w:bCs w:val="0"/>
                <w:i w:val="0"/>
                <w:iCs w:val="0"/>
                <w:rtl w:val="0"/>
              </w:rPr>
              <w:t>核心定义：</w:t>
            </w:r>
            <w:r>
              <w:rPr>
                <w:rFonts w:ascii="Helvetica Neue" w:hAnsi="Helvetica Neue" w:eastAsia="Arial Unicode MS"/>
                <w:rtl w:val="0"/>
                <w:lang w:val="en-US"/>
              </w:rPr>
              <w:t>change for good</w:t>
            </w:r>
          </w:p>
          <w:p>
            <w:pPr>
              <w:pStyle w:val="表格样式 2"/>
              <w:numPr>
                <w:ilvl w:val="0"/>
                <w:numId w:val="20"/>
              </w:numPr>
              <w:bidi w:val="0"/>
            </w:pPr>
            <w:r>
              <w:rPr>
                <w:rFonts w:ascii="Arial Unicode MS" w:cs="Arial Unicode MS" w:hAnsi="Arial Unicode MS" w:eastAsia="Arial Unicode MS" w:hint="eastAsia"/>
                <w:b w:val="0"/>
                <w:bCs w:val="0"/>
                <w:i w:val="0"/>
                <w:iCs w:val="0"/>
                <w:rtl w:val="0"/>
              </w:rPr>
              <w:t>创新</w:t>
            </w:r>
            <w:r>
              <w:rPr>
                <w:rFonts w:ascii="Helvetica Neue" w:hAnsi="Helvetica Neue" w:eastAsia="Arial Unicode MS" w:hint="default"/>
                <w:rtl w:val="1"/>
                <w:lang w:val="ar-SA" w:bidi="ar-SA"/>
              </w:rPr>
              <w:t>“</w:t>
            </w:r>
            <w:r>
              <w:rPr>
                <w:rFonts w:ascii="Arial Unicode MS" w:cs="Arial Unicode MS" w:hAnsi="Arial Unicode MS" w:eastAsia="Arial Unicode MS" w:hint="eastAsia"/>
                <w:b w:val="0"/>
                <w:bCs w:val="0"/>
                <w:i w:val="0"/>
                <w:iCs w:val="0"/>
                <w:rtl w:val="0"/>
              </w:rPr>
              <w:t>第二曲线原理</w:t>
            </w:r>
            <w:r>
              <w:rPr>
                <w:rFonts w:ascii="Helvetica Neue" w:hAnsi="Helvetica Neue" w:eastAsia="Arial Unicode MS" w:hint="default"/>
                <w:rtl w:val="0"/>
              </w:rPr>
              <w:t>”</w:t>
            </w:r>
            <w:r>
              <w:rPr>
                <w:rFonts w:ascii="Arial Unicode MS" w:cs="Arial Unicode MS" w:hAnsi="Arial Unicode MS" w:eastAsia="Arial Unicode MS" w:hint="eastAsia"/>
                <w:b w:val="0"/>
                <w:bCs w:val="0"/>
                <w:i w:val="0"/>
                <w:iCs w:val="0"/>
                <w:rtl w:val="0"/>
              </w:rPr>
              <w:t>：渐进式创新和突破式创新</w:t>
            </w:r>
          </w:p>
          <w:p>
            <w:pPr>
              <w:pStyle w:val="表格样式 2"/>
              <w:numPr>
                <w:ilvl w:val="0"/>
                <w:numId w:val="20"/>
              </w:numPr>
              <w:bidi w:val="0"/>
            </w:pPr>
            <w:r>
              <w:rPr>
                <w:rFonts w:ascii="Arial Unicode MS" w:cs="Arial Unicode MS" w:hAnsi="Arial Unicode MS" w:eastAsia="Arial Unicode MS" w:hint="eastAsia"/>
                <w:b w:val="0"/>
                <w:bCs w:val="0"/>
                <w:i w:val="0"/>
                <w:iCs w:val="0"/>
                <w:rtl w:val="0"/>
              </w:rPr>
              <w:t>创新的实践：创新力、创新成果、创新应用</w:t>
            </w:r>
          </w:p>
          <w:p>
            <w:pPr>
              <w:pStyle w:val="表格样式 2"/>
              <w:numPr>
                <w:ilvl w:val="0"/>
                <w:numId w:val="20"/>
              </w:numPr>
              <w:bidi w:val="0"/>
            </w:pPr>
            <w:r>
              <w:rPr>
                <w:rFonts w:ascii="Arial Unicode MS" w:cs="Arial Unicode MS" w:hAnsi="Arial Unicode MS" w:eastAsia="Arial Unicode MS" w:hint="eastAsia"/>
                <w:b w:val="0"/>
                <w:bCs w:val="0"/>
                <w:i w:val="0"/>
                <w:iCs w:val="0"/>
                <w:rtl w:val="0"/>
              </w:rPr>
              <w:t>认知升级拥抱变革：</w:t>
            </w:r>
            <w:r>
              <w:rPr>
                <w:rFonts w:ascii="Arial Unicode MS" w:cs="Arial Unicode MS" w:hAnsi="Arial Unicode MS" w:eastAsia="Arial Unicode MS" w:hint="eastAsia"/>
                <w:b w:val="0"/>
                <w:bCs w:val="0"/>
                <w:i w:val="0"/>
                <w:iCs w:val="0"/>
                <w:rtl w:val="0"/>
              </w:rPr>
              <w:t>四</w:t>
            </w:r>
            <w:r>
              <w:rPr>
                <w:rFonts w:ascii="Arial Unicode MS" w:cs="Arial Unicode MS" w:hAnsi="Arial Unicode MS" w:eastAsia="Arial Unicode MS" w:hint="eastAsia"/>
                <w:b w:val="0"/>
                <w:bCs w:val="0"/>
                <w:i w:val="0"/>
                <w:iCs w:val="0"/>
                <w:rtl w:val="0"/>
              </w:rPr>
              <w:t>大工具</w:t>
            </w:r>
            <w:r>
              <w:rPr>
                <w:rFonts w:ascii="Helvetica Neue" w:hAnsi="Helvetica Neue" w:eastAsia="Arial Unicode MS"/>
                <w:rtl w:val="0"/>
              </w:rPr>
              <w:t>+</w:t>
            </w:r>
            <w:r>
              <w:rPr>
                <w:rFonts w:ascii="Arial Unicode MS" w:cs="Arial Unicode MS" w:hAnsi="Arial Unicode MS" w:eastAsia="Arial Unicode MS" w:hint="eastAsia"/>
                <w:b w:val="0"/>
                <w:bCs w:val="0"/>
                <w:i w:val="0"/>
                <w:iCs w:val="0"/>
                <w:rtl w:val="0"/>
              </w:rPr>
              <w:t>必备属性</w:t>
            </w:r>
          </w:p>
        </w:tc>
        <w:tc>
          <w:tcPr>
            <w:tcW w:type="dxa" w:w="9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pPr>
              <w:pStyle w:val="表格样式 2"/>
              <w:jc w:val="center"/>
            </w:pPr>
            <w:r>
              <w:rPr>
                <w:rFonts w:ascii="Helvetica Neue" w:hAnsi="Helvetica Neue"/>
                <w:rtl w:val="0"/>
              </w:rPr>
              <w:t>40</w:t>
            </w:r>
            <w:r>
              <w:rPr>
                <w:rFonts w:eastAsia="Helvetica Neue" w:hint="eastAsia"/>
                <w:rtl w:val="0"/>
              </w:rPr>
              <w:t>分钟</w:t>
            </w:r>
          </w:p>
        </w:tc>
      </w:tr>
    </w:tbl>
    <w:p>
      <w:pPr>
        <w:pStyle w:val="正文"/>
        <w:spacing w:line="312" w:lineRule="auto"/>
        <w:jc w:val="left"/>
      </w:pPr>
    </w:p>
    <w:sectPr>
      <w:headerReference w:type="default" r:id="rId10"/>
      <w:footerReference w:type="default" r:id="rId11"/>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5">
    <w:multiLevelType w:val="hybridMultilevel"/>
    <w:lvl w:ilvl="0">
      <w:start w:val="1"/>
      <w:numFmt w:val="decimal"/>
      <w:suff w:val="tab"/>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bullet"/>
      <w:suff w:val="tab"/>
      <w:lvlText w:val="•"/>
      <w:lvlJc w:val="left"/>
      <w:pPr>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7">
    <w:multiLevelType w:val="hybridMultilevel"/>
    <w:lvl w:ilvl="0">
      <w:start w:val="1"/>
      <w:numFmt w:val="decimal"/>
      <w:suff w:val="tab"/>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bullet"/>
      <w:suff w:val="tab"/>
      <w:lvlText w:val="•"/>
      <w:lvlJc w:val="left"/>
      <w:pPr>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multiLevelType w:val="hybridMultilevel"/>
    <w:lvl w:ilvl="0">
      <w:start w:val="1"/>
      <w:numFmt w:val="decimal"/>
      <w:suff w:val="tab"/>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bullet"/>
      <w:suff w:val="tab"/>
      <w:lvlText w:val="•"/>
      <w:lvlJc w:val="left"/>
      <w:pPr>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multiLevelType w:val="hybridMultilevel"/>
    <w:lvl w:ilvl="0">
      <w:start w:val="1"/>
      <w:numFmt w:val="decimal"/>
      <w:suff w:val="tab"/>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lvl w:ilvl="0">
      <w:start w:val="1"/>
      <w:numFmt w:val="bullet"/>
      <w:suff w:val="tab"/>
      <w:lvlText w:val="•"/>
      <w:lvlJc w:val="left"/>
      <w:pPr>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3">
    <w:multiLevelType w:val="hybridMultilevel"/>
    <w:lvl w:ilvl="0">
      <w:start w:val="1"/>
      <w:numFmt w:val="decimal"/>
      <w:suff w:val="tab"/>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87" w:hanging="3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47" w:hanging="3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0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67"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27"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8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47"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07" w:hanging="32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2"/>
      <w:lvl w:ilvl="0">
        <w:start w:val="2"/>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paragraph" w:styleId="表格样式 1">
    <w:name w:val="表格样式 1"/>
    <w:next w:val="表格样式 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表格样式 2">
    <w:name w:val="表格样式 2"/>
    <w:next w:val="表格样式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0"/>
      <w:szCs w:val="20"/>
      <w:u w:val="none"/>
      <w:shd w:val="nil" w:color="auto" w:fill="auto"/>
      <w:vertAlign w:val="baseline"/>
      <w:lang w:val="zh-CN" w:eastAsia="zh-CN"/>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