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正文"/>
        <w:spacing w:line="360" w:lineRule="auto"/>
        <w:jc w:val="left"/>
        <w:rPr>
          <w:rFonts w:ascii="Microsoft YaHei" w:cs="Microsoft YaHei" w:hAnsi="Microsoft YaHei" w:eastAsia="Microsoft YaHei"/>
        </w:rPr>
      </w:pPr>
      <w:r>
        <w:rPr>
          <w:rFonts w:eastAsia="Microsoft YaHei" w:hint="eastAsia"/>
          <w:rtl w:val="0"/>
          <w:lang w:val="zh-CN" w:eastAsia="zh-CN"/>
        </w:rPr>
        <w:t>【课程背景】</w:t>
      </w:r>
      <w:r>
        <w:rPr>
          <w:rFonts w:ascii="Microsoft YaHei" w:cs="Microsoft YaHei" w:hAnsi="Microsoft YaHei" w:eastAsia="Microsoft YaHei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1208167</wp:posOffset>
            </wp:positionH>
            <wp:positionV relativeFrom="page">
              <wp:posOffset>384866</wp:posOffset>
            </wp:positionV>
            <wp:extent cx="3780823" cy="2170752"/>
            <wp:effectExtent l="0" t="0" r="0" b="0"/>
            <wp:wrapTopAndBottom distT="152400" distB="152400"/>
            <wp:docPr id="1073741825" name="officeArt object" descr="截屏2024-05-14 15.16.4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截屏2024-05-14 15.16.49.png" descr="截屏2024-05-14 15.16.49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1160" t="0" r="116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780823" cy="217075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正文"/>
        <w:spacing w:line="312" w:lineRule="auto"/>
        <w:ind w:firstLine="454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抗战时期，长期低产的延长油矿在红军到达陕北后得到较快发展，开始振兴，为抗日战争和随后的解放战争做出特殊贡献。石油人在埋头苦干中孕育出</w:t>
      </w:r>
      <w:r>
        <w:rPr>
          <w:rFonts w:ascii="Helvetica Neue" w:hAnsi="Helvetica Neue" w:hint="default"/>
          <w:rtl w:val="1"/>
          <w:lang w:val="ar-SA" w:bidi="ar-SA"/>
        </w:rPr>
        <w:t>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石油精神</w:t>
      </w:r>
      <w:r>
        <w:rPr>
          <w:rFonts w:ascii="Helvetica Neue" w:hAnsi="Helvetica Neue" w:hint="default"/>
          <w:rtl w:val="0"/>
        </w:rPr>
        <w:t>”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的火种。</w:t>
      </w:r>
    </w:p>
    <w:p>
      <w:pPr>
        <w:pStyle w:val="正文"/>
        <w:spacing w:line="312" w:lineRule="auto"/>
        <w:ind w:firstLine="454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爱党爱油，为党为油。为新中国</w:t>
      </w:r>
      <w:r>
        <w:rPr>
          <w:rFonts w:ascii="Helvetica Neue" w:hAnsi="Helvetica Neue" w:hint="default"/>
          <w:rtl w:val="1"/>
          <w:lang w:val="ar-SA" w:bidi="ar-SA"/>
        </w:rPr>
        <w:t>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解围</w:t>
      </w:r>
      <w:r>
        <w:rPr>
          <w:rFonts w:ascii="Helvetica Neue" w:hAnsi="Helvetica Neue" w:hint="default"/>
          <w:rtl w:val="0"/>
        </w:rPr>
        <w:t>”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，为现代化建设</w:t>
      </w:r>
      <w:r>
        <w:rPr>
          <w:rFonts w:ascii="Helvetica Neue" w:hAnsi="Helvetica Neue" w:hint="default"/>
          <w:rtl w:val="1"/>
          <w:lang w:val="ar-SA" w:bidi="ar-SA"/>
        </w:rPr>
        <w:t>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造血</w:t>
      </w:r>
      <w:r>
        <w:rPr>
          <w:rFonts w:ascii="Helvetica Neue" w:hAnsi="Helvetica Neue" w:hint="default"/>
          <w:rtl w:val="0"/>
        </w:rPr>
        <w:t>”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，石油人走遍祖国大江南北，蹚过老君庙的石油河、顶着准噶尔的风沙、冒着柴达木的严寒、翻过川中的重重大山</w:t>
      </w:r>
      <w:r>
        <w:rPr>
          <w:rFonts w:ascii="Helvetica Neue" w:hAnsi="Helvetica Neue" w:hint="default"/>
          <w:rtl w:val="0"/>
        </w:rPr>
        <w:t>……“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石油精神</w:t>
      </w:r>
      <w:r>
        <w:rPr>
          <w:rFonts w:ascii="Helvetica Neue" w:hAnsi="Helvetica Neue" w:hint="default"/>
          <w:rtl w:val="0"/>
        </w:rPr>
        <w:t>”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的火炬越燃越旺。</w:t>
      </w:r>
    </w:p>
    <w:p>
      <w:pPr>
        <w:pStyle w:val="正文"/>
        <w:spacing w:line="312" w:lineRule="auto"/>
        <w:ind w:firstLine="454"/>
        <w:jc w:val="left"/>
      </w:pPr>
      <w:r>
        <w:rPr>
          <w:rFonts w:ascii="Helvetica Neue" w:hAnsi="Helvetica Neue"/>
          <w:rtl w:val="0"/>
        </w:rPr>
        <w:t>1959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年，大庆油田横空出世。在波澜壮阔的会战中，老一辈石油人学习运用马列主义、毛泽东思想，继承发扬中国共产党、中国工人阶级和人民解放军优良传统，铸就了中华民族精神的重要组成部分</w:t>
      </w:r>
      <w:r>
        <w:rPr>
          <w:rFonts w:ascii="Helvetica Neue" w:hAnsi="Helvetica Neue" w:hint="default"/>
          <w:rtl w:val="0"/>
          <w:lang w:val="en-US"/>
        </w:rPr>
        <w:t>——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大庆精神铁人精神，把中国</w:t>
      </w:r>
      <w:r>
        <w:rPr>
          <w:rFonts w:ascii="Helvetica Neue" w:hAnsi="Helvetica Neue" w:hint="default"/>
          <w:rtl w:val="1"/>
          <w:lang w:val="ar-SA" w:bidi="ar-SA"/>
        </w:rPr>
        <w:t>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贫油</w:t>
      </w:r>
      <w:r>
        <w:rPr>
          <w:rFonts w:ascii="Helvetica Neue" w:hAnsi="Helvetica Neue" w:hint="default"/>
          <w:rtl w:val="0"/>
        </w:rPr>
        <w:t>”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TW" w:eastAsia="zh-TW"/>
        </w:rPr>
        <w:t>的帽子甩到太平洋。</w:t>
      </w:r>
      <w:r>
        <w:rPr>
          <w:rFonts w:ascii="Helvetica Neue" w:hAnsi="Helvetica Neue"/>
          <w:rtl w:val="0"/>
        </w:rPr>
        <w:t>1964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年，毛泽东同志发出</w:t>
      </w:r>
      <w:r>
        <w:rPr>
          <w:rFonts w:ascii="Helvetica Neue" w:hAnsi="Helvetica Neue" w:hint="default"/>
          <w:rtl w:val="1"/>
          <w:lang w:val="ar-SA" w:bidi="ar-SA"/>
        </w:rPr>
        <w:t>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工业学大庆</w:t>
      </w:r>
      <w:r>
        <w:rPr>
          <w:rFonts w:ascii="Helvetica Neue" w:hAnsi="Helvetica Neue" w:hint="default"/>
          <w:rtl w:val="0"/>
        </w:rPr>
        <w:t>”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号召，亲手举起大庆这面红旗，</w:t>
      </w:r>
      <w:r>
        <w:rPr>
          <w:rFonts w:ascii="Helvetica Neue" w:hAnsi="Helvetica Neue" w:hint="default"/>
          <w:rtl w:val="1"/>
          <w:lang w:val="ar-SA" w:bidi="ar-SA"/>
        </w:rPr>
        <w:t>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石油精神</w:t>
      </w:r>
      <w:r>
        <w:rPr>
          <w:rFonts w:ascii="Helvetica Neue" w:hAnsi="Helvetica Neue" w:hint="default"/>
          <w:rtl w:val="0"/>
        </w:rPr>
        <w:t>”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自此达到历史高度。</w:t>
      </w:r>
    </w:p>
    <w:p>
      <w:pPr>
        <w:pStyle w:val="正文"/>
        <w:spacing w:line="312" w:lineRule="auto"/>
        <w:ind w:firstLine="454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改革开放以来，高擎精神的火炬，石油人挥师塔里木、重上吐鲁番、再战陕甘宁，进军大海、走出国门，创造了建设海外大庆、西部大庆等奇迹，开发了一个又一个油田，建设了一座又一座炼厂，也树起一座又一座精神的</w:t>
      </w:r>
      <w:r>
        <w:rPr>
          <w:rFonts w:ascii="Helvetica Neue" w:hAnsi="Helvetica Neue" w:hint="default"/>
          <w:rtl w:val="1"/>
          <w:lang w:val="ar-SA" w:bidi="ar-SA"/>
        </w:rPr>
        <w:t>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大庆</w:t>
      </w:r>
      <w:r>
        <w:rPr>
          <w:rFonts w:ascii="Helvetica Neue" w:hAnsi="Helvetica Neue" w:hint="default"/>
          <w:rtl w:val="0"/>
        </w:rPr>
        <w:t>”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。</w:t>
      </w:r>
    </w:p>
    <w:p>
      <w:pPr>
        <w:pStyle w:val="正文"/>
        <w:spacing w:line="312" w:lineRule="auto"/>
        <w:ind w:firstLine="454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溯源中国石油工业发展历程，正是在</w:t>
      </w:r>
      <w:r>
        <w:rPr>
          <w:rFonts w:ascii="Helvetica Neue" w:hAnsi="Helvetica Neue" w:hint="default"/>
          <w:rtl w:val="1"/>
          <w:lang w:val="ar-SA" w:bidi="ar-SA"/>
        </w:rPr>
        <w:t>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苦干实干</w:t>
      </w:r>
      <w:r>
        <w:rPr>
          <w:rFonts w:ascii="Helvetica Neue" w:hAnsi="Helvetica Neue" w:hint="default"/>
          <w:rtl w:val="0"/>
        </w:rPr>
        <w:t>”“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三老四严</w:t>
      </w:r>
      <w:r>
        <w:rPr>
          <w:rFonts w:ascii="Helvetica Neue" w:hAnsi="Helvetica Neue" w:hint="default"/>
          <w:rtl w:val="0"/>
        </w:rPr>
        <w:t>”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精神的鼓舞下，一代又一代石油人战胜物质的匮乏、环境的险恶、差距的鸿沟，迸发出强大的创造力，书写出世界石油工业史上的</w:t>
      </w:r>
      <w:r>
        <w:rPr>
          <w:rFonts w:ascii="Helvetica Neue" w:hAnsi="Helvetica Neue" w:hint="default"/>
          <w:rtl w:val="1"/>
          <w:lang w:val="ar-SA" w:bidi="ar-SA"/>
        </w:rPr>
        <w:t>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中国奇迹</w:t>
      </w:r>
      <w:r>
        <w:rPr>
          <w:rFonts w:ascii="Helvetica Neue" w:hAnsi="Helvetica Neue" w:hint="default"/>
          <w:rtl w:val="0"/>
        </w:rPr>
        <w:t>”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。</w:t>
      </w:r>
    </w:p>
    <w:p>
      <w:pPr>
        <w:pStyle w:val="正文"/>
        <w:spacing w:line="312" w:lineRule="auto"/>
        <w:ind w:firstLine="454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从一穷二白的家底到如今三大国有石油公司均跻身世界石油公司</w:t>
      </w:r>
      <w:r>
        <w:rPr>
          <w:rFonts w:ascii="Helvetica Neue" w:hAnsi="Helvetica Neue"/>
          <w:rtl w:val="0"/>
        </w:rPr>
        <w:t>50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强；从昔日外国地质权威眼中的贫油国到世界第五大产油国</w:t>
      </w:r>
      <w:r>
        <w:rPr>
          <w:rFonts w:ascii="Helvetica Neue" w:hAnsi="Helvetica Neue" w:hint="default"/>
          <w:rtl w:val="0"/>
        </w:rPr>
        <w:t>……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短短几十年，新中国石油工业挺起精神的脊梁，真正站了起来。</w:t>
      </w:r>
    </w:p>
    <w:p>
      <w:pPr>
        <w:pStyle w:val="正文"/>
        <w:spacing w:line="312" w:lineRule="auto"/>
        <w:ind w:firstLine="454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伟大的时代产生伟大的精神，伟大的精神推动伟大的事业。产生于艰苦创业年代的</w:t>
      </w:r>
      <w:r>
        <w:rPr>
          <w:rFonts w:ascii="Helvetica Neue" w:hAnsi="Helvetica Neue" w:hint="default"/>
          <w:rtl w:val="1"/>
          <w:lang w:val="ar-SA" w:bidi="ar-SA"/>
        </w:rPr>
        <w:t>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石油精神</w:t>
      </w:r>
      <w:r>
        <w:rPr>
          <w:rFonts w:ascii="Helvetica Neue" w:hAnsi="Helvetica Neue" w:hint="default"/>
          <w:rtl w:val="0"/>
        </w:rPr>
        <w:t>”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，在不同的时代背景下传承、升华，始终焕发着旺盛的生命力，一直是推动石油事业发展的强大力量。</w:t>
      </w:r>
      <w:r>
        <w:rPr>
          <w:rFonts w:ascii="Helvetica Neue" w:hAnsi="Helvetica Neue"/>
          <w:rtl w:val="0"/>
        </w:rPr>
        <w:t xml:space="preserve"> </w:t>
      </w:r>
      <w:r>
        <w:rPr>
          <w:rFonts w:ascii="Helvetica Neue" w:hAnsi="Helvetica Neue"/>
          <w:rtl w:val="0"/>
          <w:lang w:val="pt-PT"/>
        </w:rPr>
        <w:t>[3]</w:t>
      </w:r>
    </w:p>
    <w:p>
      <w:pPr>
        <w:pStyle w:val="正文"/>
        <w:spacing w:line="312" w:lineRule="auto"/>
        <w:ind w:firstLine="454"/>
        <w:jc w:val="left"/>
      </w:pPr>
      <w:r>
        <w:rPr>
          <w:rFonts w:ascii="Helvetica Neue" w:hAnsi="Helvetica Neue"/>
          <w:rtl w:val="0"/>
        </w:rPr>
        <w:t>2016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年</w:t>
      </w:r>
      <w:r>
        <w:rPr>
          <w:rFonts w:ascii="Helvetica Neue" w:hAnsi="Helvetica Neue"/>
          <w:rtl w:val="0"/>
        </w:rPr>
        <w:t>6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月，在党的</w:t>
      </w:r>
      <w:r>
        <w:rPr>
          <w:rFonts w:ascii="Helvetica Neue" w:hAnsi="Helvetica Neue"/>
          <w:rtl w:val="0"/>
        </w:rPr>
        <w:t>95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岁生日的前夕，习近平同志做出重要批示：</w:t>
      </w:r>
      <w:r>
        <w:rPr>
          <w:rFonts w:ascii="Helvetica Neue" w:hAnsi="Helvetica Neue" w:hint="default"/>
          <w:rtl w:val="1"/>
          <w:lang w:val="ar-SA" w:bidi="ar-SA"/>
        </w:rPr>
        <w:t>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石油精神</w:t>
      </w:r>
      <w:r>
        <w:rPr>
          <w:rFonts w:ascii="Helvetica Neue" w:hAnsi="Helvetica Neue" w:hint="default"/>
          <w:rtl w:val="0"/>
        </w:rPr>
        <w:t>”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是攻坚克难、夺取胜利的宝贵财富，什么时候都不能丢。要结合</w:t>
      </w:r>
      <w:r>
        <w:rPr>
          <w:rFonts w:ascii="Helvetica Neue" w:hAnsi="Helvetica Neue" w:hint="default"/>
          <w:rtl w:val="1"/>
          <w:lang w:val="ar-SA" w:bidi="ar-SA"/>
        </w:rPr>
        <w:t>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两学一做</w:t>
      </w:r>
      <w:r>
        <w:rPr>
          <w:rFonts w:ascii="Helvetica Neue" w:hAnsi="Helvetica Neue" w:hint="default"/>
          <w:rtl w:val="0"/>
        </w:rPr>
        <w:t>”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学习教育，大力弘扬以</w:t>
      </w:r>
      <w:r>
        <w:rPr>
          <w:rFonts w:ascii="Helvetica Neue" w:hAnsi="Helvetica Neue" w:hint="default"/>
          <w:rtl w:val="1"/>
          <w:lang w:val="ar-SA" w:bidi="ar-SA"/>
        </w:rPr>
        <w:t>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苦干实干</w:t>
      </w:r>
      <w:r>
        <w:rPr>
          <w:rFonts w:ascii="Helvetica Neue" w:hAnsi="Helvetica Neue" w:hint="default"/>
          <w:rtl w:val="0"/>
        </w:rPr>
        <w:t>”“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三老四严</w:t>
      </w:r>
      <w:r>
        <w:rPr>
          <w:rFonts w:ascii="Helvetica Neue" w:hAnsi="Helvetica Neue" w:hint="default"/>
          <w:rtl w:val="0"/>
        </w:rPr>
        <w:t>”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为核心的</w:t>
      </w:r>
      <w:r>
        <w:rPr>
          <w:rFonts w:ascii="Helvetica Neue" w:hAnsi="Helvetica Neue" w:hint="default"/>
          <w:rtl w:val="1"/>
          <w:lang w:val="ar-SA" w:bidi="ar-SA"/>
        </w:rPr>
        <w:t>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石油精神</w:t>
      </w:r>
      <w:r>
        <w:rPr>
          <w:rFonts w:ascii="Helvetica Neue" w:hAnsi="Helvetica Neue" w:hint="default"/>
          <w:rtl w:val="0"/>
        </w:rPr>
        <w:t>”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，深挖其蕴含的时代内涵，凝聚新时期干事创业的精神力量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。</w:t>
      </w: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eastAsia="Microsoft YaHei" w:hint="eastAsia"/>
          <w:rtl w:val="0"/>
          <w:lang w:val="zh-CN" w:eastAsia="zh-CN"/>
        </w:rPr>
        <w:t>【课程收益】</w:t>
      </w:r>
    </w:p>
    <w:p>
      <w:pPr>
        <w:pStyle w:val="正文"/>
        <w:spacing w:line="312" w:lineRule="auto"/>
        <w:jc w:val="left"/>
        <w:rPr>
          <w:b w:val="1"/>
          <w:bCs w:val="1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个人收益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通过沙盘推演，了解石油精神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借助沙盘元素，感受石油精神在现实工作中的指导意义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通过三个阶段：</w:t>
      </w:r>
      <w:r>
        <w:rPr>
          <w:rFonts w:ascii="Helvetica Neue" w:hAnsi="Helvetica Neue" w:hint="default"/>
          <w:rtl w:val="0"/>
          <w:lang w:val="zh-CN" w:eastAsia="zh-CN"/>
        </w:rPr>
        <w:t>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勘查先锋</w:t>
      </w:r>
      <w:r>
        <w:rPr>
          <w:rFonts w:ascii="Helvetica Neue" w:hAnsi="Helvetica Neue" w:hint="default"/>
          <w:rtl w:val="0"/>
          <w:lang w:val="zh-CN" w:eastAsia="zh-CN"/>
        </w:rPr>
        <w:t>”“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建设先锋</w:t>
      </w:r>
      <w:r>
        <w:rPr>
          <w:rFonts w:ascii="Helvetica Neue" w:hAnsi="Helvetica Neue" w:hint="default"/>
          <w:rtl w:val="0"/>
          <w:lang w:val="zh-CN" w:eastAsia="zh-CN"/>
        </w:rPr>
        <w:t>”“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能源先锋</w:t>
      </w:r>
      <w:r>
        <w:rPr>
          <w:rFonts w:ascii="Helvetica Neue" w:hAnsi="Helvetica Neue" w:hint="default"/>
          <w:rtl w:val="0"/>
          <w:lang w:val="zh-CN" w:eastAsia="zh-CN"/>
        </w:rPr>
        <w:t>”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，看到石油人在建国后的爱国、创业、求实、奉献精神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在遇到困境时，借助石油精神激励自己；在遇到难题时，借助石油人的智慧分析问题解决问题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塑造职场必备阳光心态</w:t>
      </w:r>
      <w:r>
        <w:rPr>
          <w:rFonts w:ascii="Helvetica Neue" w:hAnsi="Helvetica Neue"/>
          <w:rtl w:val="0"/>
        </w:rPr>
        <w:t>;</w:t>
      </w:r>
    </w:p>
    <w:p>
      <w:pPr>
        <w:pStyle w:val="正文"/>
        <w:spacing w:line="312" w:lineRule="auto"/>
        <w:jc w:val="left"/>
        <w:rPr>
          <w:b w:val="1"/>
          <w:bCs w:val="1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企业收益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石油企业员工快速融入企业，适应新的企业文化，确定自身的学习方向和发展路径</w:t>
      </w:r>
      <w:r>
        <w:rPr>
          <w:rFonts w:ascii="Helvetica Neue" w:hAnsi="Helvetica Neue"/>
          <w:rtl w:val="0"/>
        </w:rPr>
        <w:t>;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TW" w:eastAsia="zh-TW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TW" w:eastAsia="zh-TW"/>
        </w:rPr>
        <w:t>提升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员工职业素养，增强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合作精神和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组织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ja-JP" w:eastAsia="ja-JP"/>
        </w:rPr>
        <w:t>健康指数</w:t>
      </w:r>
      <w:r>
        <w:rPr>
          <w:rFonts w:ascii="Helvetica Neue" w:hAnsi="Helvetica Neue"/>
          <w:rtl w:val="0"/>
        </w:rPr>
        <w:t>;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增进组织分析问</w: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1445809</wp:posOffset>
                </wp:positionH>
                <wp:positionV relativeFrom="page">
                  <wp:posOffset>6163238</wp:posOffset>
                </wp:positionV>
                <wp:extent cx="4681139" cy="2282356"/>
                <wp:effectExtent l="0" t="0" r="0" b="0"/>
                <wp:wrapTopAndBottom distT="152400" distB="152400"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1139" cy="228235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7351" w:type="dxa"/>
                              <w:tblInd w:w="10" w:type="dxa"/>
                              <w:tblBorders>
                                <w:top w:val="single" w:color="ffffff" w:sz="8" w:space="0" w:shadow="0" w:frame="0"/>
                                <w:left w:val="single" w:color="ffffff" w:sz="8" w:space="0" w:shadow="0" w:frame="0"/>
                                <w:bottom w:val="single" w:color="ffffff" w:sz="8" w:space="0" w:shadow="0" w:frame="0"/>
                                <w:right w:val="single" w:color="ffffff" w:sz="8" w:space="0" w:shadow="0" w:frame="0"/>
                                <w:insideH w:val="single" w:color="ffffff" w:sz="8" w:space="0" w:shadow="0" w:frame="0"/>
                                <w:insideV w:val="single" w:color="ffffff" w:sz="8" w:space="0" w:shadow="0" w:frame="0"/>
                              </w:tblBorders>
                              <w:shd w:val="clear" w:color="auto" w:fill="cadfff"/>
                              <w:tblLayout w:type="fixed"/>
                            </w:tblPr>
                            <w:tblGrid>
                              <w:gridCol w:w="490"/>
                              <w:gridCol w:w="490"/>
                              <w:gridCol w:w="490"/>
                              <w:gridCol w:w="490"/>
                              <w:gridCol w:w="490"/>
                              <w:gridCol w:w="490"/>
                              <w:gridCol w:w="490"/>
                              <w:gridCol w:w="490"/>
                              <w:gridCol w:w="491"/>
                              <w:gridCol w:w="490"/>
                              <w:gridCol w:w="490"/>
                              <w:gridCol w:w="490"/>
                              <w:gridCol w:w="490"/>
                              <w:gridCol w:w="490"/>
                              <w:gridCol w:w="490"/>
                            </w:tblGrid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17" w:hRule="atLeast"/>
                              </w:trPr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000000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outline w:val="0"/>
                                      <w:color w:val="ffffff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A1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A2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A3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A4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A5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A6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A7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000000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outline w:val="0"/>
                                      <w:color w:val="ffffff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A8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A9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A10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A11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A12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A13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A14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A15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17" w:hRule="atLeast"/>
                              </w:trPr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B1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B2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B3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B4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B5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B6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B7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B8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B9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B10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B11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B12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B13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B14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B15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17" w:hRule="atLeast"/>
                              </w:trPr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C1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C2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C3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C4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C5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C6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C7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C8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C9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C10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C11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C12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C13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C14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C15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17" w:hRule="atLeast"/>
                              </w:trPr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D1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D2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D3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D4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D5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D6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D7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D8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D9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D10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D11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D12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D13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D14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D15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17" w:hRule="atLeast"/>
                              </w:trPr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E1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E2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E3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E4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E5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E6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E7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E8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E9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E10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E11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E12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E13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E14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000000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outline w:val="0"/>
                                      <w:color w:val="ffffff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E15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17" w:hRule="atLeast"/>
                              </w:trPr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F1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F2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F3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F4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F5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F6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F7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F8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F9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F10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F11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F12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F13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F14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F15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17" w:hRule="atLeast"/>
                              </w:trPr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G1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G2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G3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G4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G5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G6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G7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G8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G9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G10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G11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G12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G13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G14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G15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17" w:hRule="atLeast"/>
                              </w:trPr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H1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H2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H3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H4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H5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H6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H7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H8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H9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H10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H11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H12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H13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H14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e6efff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H15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334" w:hRule="atLeast"/>
                              </w:trPr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I1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I2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I3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I4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I5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I6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I7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000000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outline w:val="0"/>
                                      <w:color w:val="ffffff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I8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I9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I10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I11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I12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I13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I14</w:t>
                                  </w:r>
                                </w:p>
                              </w:tc>
                              <w:tc>
                                <w:tcPr>
                                  <w:tcW w:type="dxa" w:w="49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0"/>
                                    <w:left w:type="dxa" w:w="0"/>
                                    <w:bottom w:type="dxa" w:w="0"/>
                                    <w:right w:type="dxa" w:w="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默认"/>
                                    <w:suppressAutoHyphens w:val="1"/>
                                    <w:jc w:val="center"/>
                                    <w:outlineLvl w:val="1"/>
                                  </w:pPr>
                                  <w:r>
                                    <w:rPr>
                                      <w:rFonts w:ascii="Helvetica Neue Medium" w:hAnsi="Helvetica Neue Medium"/>
                                      <w:sz w:val="13"/>
                                      <w:szCs w:val="13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I15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113.8pt;margin-top:485.3pt;width:368.6pt;height:179.7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tbl>
                      <w:tblPr>
                        <w:tblW w:w="7351" w:type="dxa"/>
                        <w:tblInd w:w="10" w:type="dxa"/>
                        <w:tblBorders>
                          <w:top w:val="single" w:color="ffffff" w:sz="8" w:space="0" w:shadow="0" w:frame="0"/>
                          <w:left w:val="single" w:color="ffffff" w:sz="8" w:space="0" w:shadow="0" w:frame="0"/>
                          <w:bottom w:val="single" w:color="ffffff" w:sz="8" w:space="0" w:shadow="0" w:frame="0"/>
                          <w:right w:val="single" w:color="ffffff" w:sz="8" w:space="0" w:shadow="0" w:frame="0"/>
                          <w:insideH w:val="single" w:color="ffffff" w:sz="8" w:space="0" w:shadow="0" w:frame="0"/>
                          <w:insideV w:val="single" w:color="ffffff" w:sz="8" w:space="0" w:shadow="0" w:frame="0"/>
                        </w:tblBorders>
                        <w:shd w:val="clear" w:color="auto" w:fill="cadfff"/>
                        <w:tblLayout w:type="fixed"/>
                      </w:tblPr>
                      <w:tblGrid>
                        <w:gridCol w:w="490"/>
                        <w:gridCol w:w="490"/>
                        <w:gridCol w:w="490"/>
                        <w:gridCol w:w="490"/>
                        <w:gridCol w:w="490"/>
                        <w:gridCol w:w="490"/>
                        <w:gridCol w:w="490"/>
                        <w:gridCol w:w="490"/>
                        <w:gridCol w:w="491"/>
                        <w:gridCol w:w="490"/>
                        <w:gridCol w:w="490"/>
                        <w:gridCol w:w="490"/>
                        <w:gridCol w:w="490"/>
                        <w:gridCol w:w="490"/>
                        <w:gridCol w:w="490"/>
                      </w:tblGrid>
                      <w:tr>
                        <w:tblPrEx>
                          <w:shd w:val="clear" w:color="auto" w:fill="cadfff"/>
                        </w:tblPrEx>
                        <w:trPr>
                          <w:trHeight w:val="417" w:hRule="atLeast"/>
                        </w:trPr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000000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outline w:val="0"/>
                                <w:color w:val="ffffff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A1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A2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A3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A4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A5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A6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A7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000000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outline w:val="0"/>
                                <w:color w:val="ffffff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A8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A9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A10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A11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A12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A13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A14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A15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417" w:hRule="atLeast"/>
                        </w:trPr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B1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B2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B3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B4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B5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B6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B7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B8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B9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B10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B11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B12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B13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B14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B15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417" w:hRule="atLeast"/>
                        </w:trPr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C1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C2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C3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C4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C5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C6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C7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C8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C9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C10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C11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C12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C13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C14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C15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417" w:hRule="atLeast"/>
                        </w:trPr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D1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D2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D3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D4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D5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D6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D7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D8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D9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D10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D11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D12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D13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D14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D15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417" w:hRule="atLeast"/>
                        </w:trPr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E1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E2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E3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E4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E5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E6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E7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E8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E9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E10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E11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E12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E13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E14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000000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outline w:val="0"/>
                                <w:color w:val="ffffff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E15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417" w:hRule="atLeast"/>
                        </w:trPr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F1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F2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F3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F4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F5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F6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F7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F8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F9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F10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F11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F12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F13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F14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F15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417" w:hRule="atLeast"/>
                        </w:trPr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G1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G2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G3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G4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G5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G6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G7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G8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G9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G10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G11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G12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G13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G14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G15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417" w:hRule="atLeast"/>
                        </w:trPr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H1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H2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H3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H4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H5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H6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H7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H8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H9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H10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H11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H12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H13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H14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e6efff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H15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334" w:hRule="atLeast"/>
                        </w:trPr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I1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I2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I3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I4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I5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I6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I7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000000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outline w:val="0"/>
                                <w:color w:val="ffffff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I8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I9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I10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I11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I12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I13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I14</w:t>
                            </w:r>
                          </w:p>
                        </w:tc>
                        <w:tc>
                          <w:tcPr>
                            <w:tcW w:type="dxa" w:w="49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0"/>
                              <w:left w:type="dxa" w:w="0"/>
                              <w:bottom w:type="dxa" w:w="0"/>
                              <w:right w:type="dxa" w:w="0"/>
                            </w:tcMar>
                            <w:vAlign w:val="center"/>
                          </w:tcPr>
                          <w:p>
                            <w:pPr>
                              <w:pStyle w:val="默认"/>
                              <w:suppressAutoHyphens w:val="1"/>
                              <w:jc w:val="center"/>
                              <w:outlineLvl w:val="1"/>
                            </w:pPr>
                            <w:r>
                              <w:rPr>
                                <w:rFonts w:ascii="Helvetica Neue Medium" w:hAnsi="Helvetica Neue Medium"/>
                                <w:sz w:val="13"/>
                                <w:szCs w:val="13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I15</w:t>
                            </w:r>
                          </w:p>
                        </w:tc>
                      </w:tr>
                    </w:tbl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题，解决问题的能力</w:t>
      </w:r>
      <w:r>
        <w:rPr>
          <w:rFonts w:ascii="Helvetica Neue" w:hAnsi="Helvetica Neue"/>
          <w:rtl w:val="0"/>
        </w:rPr>
        <w:t>;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缩短新员工的迷茫期，尽快发挥主观能动性，为企业创造价值。</w:t>
      </w:r>
    </w:p>
    <w:p>
      <w:pPr>
        <w:pStyle w:val="正文"/>
        <w:spacing w:line="312" w:lineRule="auto"/>
        <w:jc w:val="left"/>
      </w:pPr>
    </w:p>
    <w:p>
      <w:pPr>
        <w:pStyle w:val="正文"/>
        <w:spacing w:line="312" w:lineRule="auto"/>
        <w:jc w:val="left"/>
      </w:pP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eastAsia="Microsoft YaHei" w:hint="eastAsia"/>
          <w:rtl w:val="0"/>
          <w:lang w:val="zh-CN" w:eastAsia="zh-CN"/>
        </w:rPr>
        <w:t>【课程时间】</w:t>
      </w:r>
      <w:r>
        <w:rPr>
          <w:rFonts w:ascii="Microsoft YaHei" w:hAnsi="Microsoft YaHei"/>
          <w:rtl w:val="0"/>
          <w:lang w:val="zh-CN" w:eastAsia="zh-CN"/>
        </w:rPr>
        <w:t>12</w:t>
      </w:r>
      <w:r>
        <w:rPr>
          <w:rFonts w:eastAsia="Microsoft YaHei" w:hint="eastAsia"/>
          <w:rtl w:val="0"/>
          <w:lang w:val="zh-CN" w:eastAsia="zh-CN"/>
        </w:rPr>
        <w:t>小时（两天）</w:t>
      </w: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eastAsia="Microsoft YaHei" w:hint="eastAsia"/>
          <w:rtl w:val="0"/>
          <w:lang w:val="zh-CN" w:eastAsia="zh-CN"/>
        </w:rPr>
        <w:t>【学员群体】</w:t>
      </w:r>
      <w:r>
        <w:rPr>
          <w:rFonts w:ascii="Microsoft YaHei" w:hAnsi="Microsoft YaHei"/>
          <w:rtl w:val="0"/>
          <w:lang w:val="zh-CN" w:eastAsia="zh-CN"/>
        </w:rPr>
        <w:t>60</w:t>
      </w:r>
      <w:r>
        <w:rPr>
          <w:rFonts w:eastAsia="Microsoft YaHei" w:hint="eastAsia"/>
          <w:rtl w:val="0"/>
          <w:lang w:val="zh-CN" w:eastAsia="zh-CN"/>
        </w:rPr>
        <w:t>人（</w:t>
      </w:r>
      <w:r>
        <w:rPr>
          <w:rFonts w:ascii="Microsoft YaHei" w:hAnsi="Microsoft YaHei"/>
          <w:rtl w:val="0"/>
          <w:lang w:val="zh-CN" w:eastAsia="zh-CN"/>
        </w:rPr>
        <w:t>8</w:t>
      </w:r>
      <w:r>
        <w:rPr>
          <w:rFonts w:eastAsia="Microsoft YaHei" w:hint="eastAsia"/>
          <w:rtl w:val="0"/>
          <w:lang w:val="zh-CN" w:eastAsia="zh-CN"/>
        </w:rPr>
        <w:t>～</w:t>
      </w:r>
      <w:r>
        <w:rPr>
          <w:rFonts w:ascii="Microsoft YaHei" w:hAnsi="Microsoft YaHei"/>
          <w:rtl w:val="0"/>
          <w:lang w:val="zh-CN" w:eastAsia="zh-CN"/>
        </w:rPr>
        <w:t>10/</w:t>
      </w:r>
      <w:r>
        <w:rPr>
          <w:rFonts w:eastAsia="Microsoft YaHei" w:hint="eastAsia"/>
          <w:rtl w:val="0"/>
          <w:lang w:val="zh-CN" w:eastAsia="zh-CN"/>
        </w:rPr>
        <w:t>组）</w:t>
      </w: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eastAsia="Microsoft YaHei" w:hint="eastAsia"/>
          <w:rtl w:val="0"/>
          <w:lang w:val="zh-CN" w:eastAsia="zh-CN"/>
        </w:rPr>
        <w:t>【课程大纲】</w:t>
      </w:r>
    </w:p>
    <w:p>
      <w:pPr>
        <w:pStyle w:val="正文"/>
        <w:spacing w:line="312" w:lineRule="auto"/>
        <w:jc w:val="center"/>
        <w:rPr>
          <w:b w:val="1"/>
          <w:bCs w:val="1"/>
          <w:sz w:val="28"/>
          <w:szCs w:val="28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</w:rPr>
        <w:t>第一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zh-CN" w:eastAsia="zh-CN"/>
        </w:rPr>
        <w:t>阶段推演</w:t>
      </w:r>
      <w:r>
        <w:rPr>
          <w:rFonts w:ascii="Helvetica Neue" w:hAnsi="Helvetica Neue"/>
          <w:b w:val="1"/>
          <w:bCs w:val="1"/>
          <w:sz w:val="28"/>
          <w:szCs w:val="28"/>
          <w:rtl w:val="0"/>
        </w:rPr>
        <w:t>: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zh-CN" w:eastAsia="zh-CN"/>
        </w:rPr>
        <w:t>勘探先锋</w:t>
      </w:r>
    </w:p>
    <w:p>
      <w:pPr>
        <w:pStyle w:val="正文"/>
        <w:spacing w:line="312" w:lineRule="auto"/>
        <w:jc w:val="center"/>
        <w:rPr>
          <w:b w:val="1"/>
          <w:bCs w:val="1"/>
          <w:sz w:val="21"/>
          <w:szCs w:val="21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1"/>
          <w:szCs w:val="21"/>
          <w:rtl w:val="0"/>
          <w:lang w:val="zh-CN" w:eastAsia="zh-CN"/>
        </w:rPr>
        <w:t>定位新时代个人和组织的链接方式</w:t>
      </w:r>
    </w:p>
    <w:p>
      <w:pPr>
        <w:pStyle w:val="正文"/>
        <w:spacing w:line="312" w:lineRule="auto"/>
        <w:jc w:val="center"/>
        <w:rPr>
          <w:b w:val="1"/>
          <w:bCs w:val="1"/>
          <w:sz w:val="21"/>
          <w:szCs w:val="21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1"/>
          <w:szCs w:val="21"/>
          <w:rtl w:val="0"/>
          <w:lang w:val="zh-CN" w:eastAsia="zh-CN"/>
        </w:rPr>
        <w:t>（沙盘推演图）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课程导入：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 xml:space="preserve">      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以柴达木盆地的勘探过程为原型，各支科考队（小组）在只有向导的情况下，经历了各种恶劣天气、缺吃少水、长途跋涉的困难，最终在坚定的信念，崇高的使命感驱动下，克服客观条件的种种限制，完成勘探工作的过程。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推演机制：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1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、协作机制：各小组之间需要合作分工，才能再资源有限的情况下完成勘探任务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2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、消耗机制：勘探的过程最简单的是失望与希望的平衡。完成勘探任务不是一蹴而就的，是需要不断的尝试和失败的。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3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、交互机制：精力值</w:t>
      </w:r>
      <w:r>
        <w:rPr>
          <w:rFonts w:ascii="Helvetica Neue" w:hAnsi="Helvetica Neue"/>
          <w:rtl w:val="0"/>
          <w:lang w:val="zh-CN" w:eastAsia="zh-CN"/>
        </w:rPr>
        <w:t>+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体力值，决定了勘探队每一天的行程（坐标点位），从推演中看到，当年的前辈们在体力值缺乏的情况下，靠着顽强的毅力和坚定的信念完成任务的过程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4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、事件机制：工具卡</w:t>
      </w:r>
      <w:r>
        <w:rPr>
          <w:rFonts w:ascii="Helvetica Neue" w:hAnsi="Helvetica Neue"/>
          <w:rtl w:val="0"/>
          <w:lang w:val="zh-CN" w:eastAsia="zh-CN"/>
        </w:rPr>
        <w:t>+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事件卡，决定了勘探队在常规困难之外遇到的事件，这些事件都是当年前辈们曾经经历过的，其处理方法，对现今的工作有非常好的指导作用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重点分享：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智能团队的四大转变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第一、从外驱力到内驱力的转变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第二、从执行力到追随力的转变</w:t>
      </w:r>
      <w:r>
        <w:rPr>
          <w:rFonts w:ascii="Helvetica Neue" w:hAnsi="Helvetica Neue"/>
          <w:rtl w:val="0"/>
          <w:lang w:val="zh-CN" w:eastAsia="zh-CN"/>
        </w:rPr>
        <w:t xml:space="preserve"> 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第三、从专项型到复合型的转变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第四、从抗压力到复原力的转变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 xml:space="preserve"> </w:t>
      </w:r>
    </w:p>
    <w:p>
      <w:pPr>
        <w:pStyle w:val="正文"/>
        <w:spacing w:line="312" w:lineRule="auto"/>
        <w:jc w:val="center"/>
        <w:rPr>
          <w:b w:val="1"/>
          <w:bCs w:val="1"/>
          <w:sz w:val="28"/>
          <w:szCs w:val="28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</w:rPr>
        <w:t>第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zh-CN" w:eastAsia="zh-CN"/>
        </w:rPr>
        <w:t>二阶段</w:t>
      </w:r>
      <w:r>
        <w:rPr>
          <w:rFonts w:ascii="Helvetica Neue" w:hAnsi="Helvetica Neue"/>
          <w:b w:val="1"/>
          <w:bCs w:val="1"/>
          <w:sz w:val="28"/>
          <w:szCs w:val="28"/>
          <w:rtl w:val="0"/>
        </w:rPr>
        <w:t>: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zh-CN" w:eastAsia="zh-CN"/>
        </w:rPr>
        <w:t>建设先锋</w:t>
      </w:r>
    </w:p>
    <w:p>
      <w:pPr>
        <w:pStyle w:val="正文"/>
        <w:spacing w:line="312" w:lineRule="auto"/>
        <w:jc w:val="center"/>
        <w:rPr>
          <w:b w:val="1"/>
          <w:bCs w:val="1"/>
          <w:sz w:val="21"/>
          <w:szCs w:val="21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1"/>
          <w:szCs w:val="21"/>
          <w:rtl w:val="0"/>
          <w:lang w:val="zh-CN" w:eastAsia="zh-CN"/>
        </w:rPr>
        <w:t>传递新时代石油人曾为新中国建设和发展提供的动力</w:t>
      </w:r>
      <w:r>
        <w:rPr>
          <w:b w:val="1"/>
          <w:bCs w:val="1"/>
          <w:sz w:val="21"/>
          <w:szCs w:val="21"/>
        </w:rPr>
        <w:drawing xmlns:a="http://schemas.openxmlformats.org/drawingml/2006/main"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768708</wp:posOffset>
            </wp:positionH>
            <wp:positionV relativeFrom="line">
              <wp:posOffset>223499</wp:posOffset>
            </wp:positionV>
            <wp:extent cx="4071144" cy="2683078"/>
            <wp:effectExtent l="0" t="0" r="0" b="0"/>
            <wp:wrapTopAndBottom distT="152400" distB="152400"/>
            <wp:docPr id="1073741827" name="officeArt object" descr="截屏2024-05-14 16.00.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截屏2024-05-14 16.00.13.png" descr="截屏2024-05-14 16.00.13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1144" cy="26830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课程导入：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 xml:space="preserve">     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以油田建设为主线，将施工建设的项目制管理，成本控制，安全生产等因素加入到沙盘中。从材料的管理、项目的进度、团队的合作等元素出发，迅速在已经探明储量的油井周围建设基地、铺设输油管道、建立炼油厂。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推演机制：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1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、成本机制：在油田建设过程中，使用成本机制合理的掉配材料、机械、运力、人力等相关资源，还原油田建设者们在当时的社会环境下坚守岗位，爱国奉献的精神。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2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、质量机制：建设生产过程中，不仅要考虑到油田建设的基础设施，还要考虑到产品质量的问题，从管理、技术等多方面提升质量。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3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安全机制：要保障生产顺利进行，安全是红线。在沙盘推演中，将曾经出现的安全事件拆分为：初期隐患、中期症候、后期事故等，呈现在推演着面前，让参与者学会分辨安全隐患，及时排除防治安全证后和事故的发生。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重点分享：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项目管理的核心要素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第一、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时间管理。涉及项目活动的排序、持续时间估算、进度表制定和进度控制，确保项目按时完成。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第二、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成本管理。包括成本预算、成本控制和成本监测，涉及项目所需资源的预算和成本控制。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第三、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质量管理。涉及质量规划、质量保证和质量控制，确保项目成果的质量和可靠性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。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第四、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范围管理。关注如何确定和管理项目的范围和目标，包括管理员工、文档、交付物和进度表。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第五、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人力资源管理。涵盖雇佣、训练和绩效管理等方面，确保项目团队的有效运作。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第六、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沟通管理。确保项目团队间的有效沟通，建立沟通平台与渠道。</w:t>
      </w:r>
    </w:p>
    <w:p>
      <w:pPr>
        <w:pStyle w:val="正文"/>
        <w:spacing w:line="312" w:lineRule="auto"/>
        <w:jc w:val="left"/>
      </w:pPr>
    </w:p>
    <w:p>
      <w:pPr>
        <w:pStyle w:val="正文"/>
        <w:spacing w:line="312" w:lineRule="auto"/>
        <w:jc w:val="center"/>
        <w:rPr>
          <w:b w:val="1"/>
          <w:bCs w:val="1"/>
          <w:sz w:val="28"/>
          <w:szCs w:val="28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</w:rPr>
        <w:t>第三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zh-CN" w:eastAsia="zh-CN"/>
        </w:rPr>
        <w:t>阶段</w:t>
      </w:r>
      <w:r>
        <w:rPr>
          <w:rFonts w:ascii="Helvetica Neue" w:hAnsi="Helvetica Neue"/>
          <w:b w:val="1"/>
          <w:bCs w:val="1"/>
          <w:sz w:val="28"/>
          <w:szCs w:val="28"/>
          <w:rtl w:val="0"/>
        </w:rPr>
        <w:t>: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8"/>
          <w:szCs w:val="28"/>
          <w:rtl w:val="0"/>
          <w:lang w:val="zh-CN" w:eastAsia="zh-CN"/>
        </w:rPr>
        <w:t>奉献先锋</w:t>
      </w:r>
    </w:p>
    <w:p>
      <w:pPr>
        <w:pStyle w:val="正文"/>
        <w:spacing w:line="312" w:lineRule="auto"/>
        <w:jc w:val="center"/>
        <w:rPr>
          <w:b w:val="1"/>
          <w:bCs w:val="1"/>
          <w:sz w:val="21"/>
          <w:szCs w:val="21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1"/>
          <w:szCs w:val="21"/>
          <w:rtl w:val="0"/>
          <w:lang w:val="zh-CN" w:eastAsia="zh-CN"/>
        </w:rPr>
        <w:t>呈现石油人在新时代社会主义现代化中的重要力量</w:t>
      </w:r>
      <w:r>
        <w:rPr>
          <w:b w:val="1"/>
          <w:bCs w:val="1"/>
          <w:sz w:val="21"/>
          <w:szCs w:val="21"/>
        </w:rPr>
        <w:drawing xmlns:a="http://schemas.openxmlformats.org/drawingml/2006/main">
          <wp:anchor distT="152400" distB="152400" distL="152400" distR="152400" simplePos="0" relativeHeight="251662336" behindDoc="0" locked="0" layoutInCell="1" allowOverlap="1">
            <wp:simplePos x="0" y="0"/>
            <wp:positionH relativeFrom="margin">
              <wp:posOffset>1064392</wp:posOffset>
            </wp:positionH>
            <wp:positionV relativeFrom="line">
              <wp:posOffset>222216</wp:posOffset>
            </wp:positionV>
            <wp:extent cx="3777072" cy="2494203"/>
            <wp:effectExtent l="0" t="0" r="0" b="0"/>
            <wp:wrapTopAndBottom distT="152400" distB="152400"/>
            <wp:docPr id="1073741828" name="officeArt object" descr="截屏2024-05-14 16.35.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截屏2024-05-14 16.35.37.png" descr="截屏2024-05-14 16.35.37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7072" cy="24942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课程导入：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 xml:space="preserve">      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以石油行业的贡献为推演重点。工业、农业、第三产业的发展离不开石油人的努力和奉献，在实现社会主义现代化的过程中，石油人的每一份努力和奉献，都将转换成人民幸福生活的一份力量，推动者社会主义现代化不断向前、高速发展。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推演机制：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1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、订单机制：各行各业的发展都离不开石油及其衍生品，随着时代的发展，需求以订单的形式发送给各个小组，他们需要在有限的条件下，努力完成订单上的生产任务。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2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、创新机制：不断升级产线，扩大产能，降低能耗和经营成本，是高效完成订单的重要途径。需要不断的、全方位、多条线的创新，才能不断跟上时代的需求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3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、协调机制：由于发展速度不同、地区需求量不同。在石油及衍生品的需求上，各组拿到的订单是不同的，这就需要各小组用大局观意识，增加自己有协调配合，完成订单的需求</w:t>
      </w:r>
    </w:p>
    <w:p>
      <w:pPr>
        <w:pStyle w:val="正文"/>
        <w:spacing w:line="312" w:lineRule="auto"/>
        <w:jc w:val="left"/>
      </w:pPr>
      <w:r>
        <w:rPr>
          <w:rFonts w:ascii="Helvetica Neue" w:hAnsi="Helvetica Neue"/>
          <w:rtl w:val="0"/>
          <w:lang w:val="zh-CN" w:eastAsia="zh-CN"/>
        </w:rPr>
        <w:t>4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、环保机制：勇于承担社会责任，在有限的条件下，不断探索新能源，为双碳时代贡献自己的力量。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重点分享：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新时代石油人的历史责任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第一、高质量发展：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刀刃向内找差距，对标一流抓整改，攻坚克难上台阶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第二、技术攻关：攻坚克难</w:t>
      </w:r>
      <w:r>
        <w:rPr>
          <w:rFonts w:ascii="Helvetica Neue" w:hAnsi="Helvetica Neue" w:hint="default"/>
          <w:rtl w:val="0"/>
          <w:lang w:val="zh-CN" w:eastAsia="zh-CN"/>
        </w:rPr>
        <w:t>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卡脖子</w:t>
      </w:r>
      <w:r>
        <w:rPr>
          <w:rFonts w:ascii="Helvetica Neue" w:hAnsi="Helvetica Neue" w:hint="default"/>
          <w:rtl w:val="0"/>
          <w:lang w:val="zh-CN" w:eastAsia="zh-CN"/>
        </w:rPr>
        <w:t>”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难题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第三、创新精神：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加快构建创新引领、多维支撑的新兴产业体系，打造一流产业实力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第四、管理经营：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深化市场化运营机制改革，持续提升经营管理能力，持续增强抗风险能力，打造富有生机活力的现代新国企，打造一流公司治理</w:t>
      </w: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第五、历史责任：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改善人民生活、促进共同富裕</w:t>
      </w: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  <w:r>
        <w:rPr>
          <w:rFonts w:eastAsia="Microsoft YaHei" w:hint="eastAsia"/>
          <w:rtl w:val="0"/>
          <w:lang w:val="zh-CN" w:eastAsia="zh-CN"/>
        </w:rPr>
        <w:t>【课程对象】</w:t>
      </w:r>
    </w:p>
    <w:p>
      <w:pPr>
        <w:pStyle w:val="正文"/>
        <w:numPr>
          <w:ilvl w:val="0"/>
          <w:numId w:val="3"/>
        </w:numPr>
        <w:spacing w:line="360" w:lineRule="auto"/>
        <w:rPr>
          <w:rFonts w:eastAsia="Microsoft YaHei" w:hint="eastAsia"/>
          <w:lang w:val="zh-CN" w:eastAsia="zh-CN"/>
        </w:rPr>
      </w:pPr>
      <w:r>
        <w:rPr>
          <w:rFonts w:eastAsia="Microsoft YaHei" w:hint="eastAsia"/>
          <w:rtl w:val="0"/>
          <w:lang w:val="zh-CN" w:eastAsia="zh-CN"/>
        </w:rPr>
        <w:t>石油工业企业管理培训、文化培训、新员工入职培训、研学等</w:t>
      </w: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</w:p>
    <w:p>
      <w:pPr>
        <w:pStyle w:val="正文"/>
        <w:spacing w:line="360" w:lineRule="auto"/>
        <w:rPr>
          <w:rFonts w:ascii="Microsoft YaHei" w:cs="Microsoft YaHei" w:hAnsi="Microsoft YaHei" w:eastAsia="Microsoft YaHei"/>
        </w:rPr>
      </w:pPr>
    </w:p>
    <w:p>
      <w:pPr>
        <w:pStyle w:val="正文"/>
        <w:spacing w:line="360" w:lineRule="auto"/>
      </w:pPr>
      <w:r>
        <w:rPr>
          <w:rFonts w:ascii="Microsoft YaHei" w:cs="Microsoft YaHei" w:hAnsi="Microsoft YaHei" w:eastAsia="Microsoft YaHei"/>
        </w:rPr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Microsoft YaHei">
    <w:charset w:val="00"/>
    <w:family w:val="roman"/>
    <w:pitch w:val="default"/>
  </w:font>
  <w:font w:name="Helvetica Neue Medium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项目符号"/>
  </w:abstractNum>
  <w:abstractNum w:abstractNumId="1">
    <w:multiLevelType w:val="hybridMultilevel"/>
    <w:styleLink w:val="项目符号"/>
    <w:lvl w:ilvl="0">
      <w:start w:val="1"/>
      <w:numFmt w:val="bullet"/>
      <w:suff w:val="tab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18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36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54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72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90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08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126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144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162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中文" w:val="‘“(〔[{〈《「『【⦅〘〖«〝︵︷︹︻︽︿﹁﹃﹇﹙﹛﹝｢"/>
  <w:noLineBreaksBefore w:lang="中文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正文">
    <w:name w:val="正文"/>
    <w:next w:val="正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 Unicode MS" w:cs="Arial Unicode MS" w:hAnsi="Arial Unicode MS" w:eastAsia="Helvetica Neue" w:hint="eastAs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zh-CN" w:eastAsia="zh-CN"/>
      <w14:textOutline>
        <w14:noFill/>
      </w14:textOutline>
      <w14:textFill>
        <w14:solidFill>
          <w14:srgbClr w14:val="000000"/>
        </w14:solidFill>
      </w14:textFill>
    </w:rPr>
  </w:style>
  <w:style w:type="numbering" w:styleId="项目符号">
    <w:name w:val="项目符号"/>
    <w:pPr>
      <w:numPr>
        <w:numId w:val="1"/>
      </w:numPr>
    </w:pPr>
  </w:style>
  <w:style w:type="paragraph" w:styleId="默认">
    <w:name w:val="默认"/>
    <w:next w:val="默认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numbering" Target="numbering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