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media/image1.jpeg" ContentType="image/jpeg"/>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正文"/>
        <w:spacing w:line="312" w:lineRule="auto"/>
        <w:jc w:val="left"/>
      </w:pPr>
      <w:r>
        <w:rPr>
          <w:rFonts w:ascii="Arial Unicode MS" w:cs="Arial Unicode MS" w:hAnsi="Arial Unicode MS" w:eastAsia="Arial Unicode MS" w:hint="eastAsia"/>
          <w:b w:val="0"/>
          <w:bCs w:val="0"/>
          <w:i w:val="0"/>
          <w:iCs w:val="0"/>
          <w:sz w:val="32"/>
          <w:szCs w:val="32"/>
          <w:rtl w:val="0"/>
          <w:lang w:val="zh-CN" w:eastAsia="zh-CN"/>
        </w:rPr>
        <w:t>课程背景</w:t>
      </w:r>
      <w:r>
        <w:drawing xmlns:a="http://schemas.openxmlformats.org/drawingml/2006/main">
          <wp:anchor distT="152400" distB="152400" distL="152400" distR="152400" simplePos="0" relativeHeight="251659264" behindDoc="0" locked="0" layoutInCell="1" allowOverlap="1">
            <wp:simplePos x="0" y="0"/>
            <wp:positionH relativeFrom="margin">
              <wp:posOffset>-6503</wp:posOffset>
            </wp:positionH>
            <wp:positionV relativeFrom="page">
              <wp:posOffset>628360</wp:posOffset>
            </wp:positionV>
            <wp:extent cx="6120057" cy="2868777"/>
            <wp:effectExtent l="0" t="0" r="0" b="0"/>
            <wp:wrapTopAndBottom distT="152400" distB="152400"/>
            <wp:docPr id="1073741825" name="officeArt object" descr="208.jpg"/>
            <wp:cNvGraphicFramePr/>
            <a:graphic xmlns:a="http://schemas.openxmlformats.org/drawingml/2006/main">
              <a:graphicData uri="http://schemas.openxmlformats.org/drawingml/2006/picture">
                <pic:pic xmlns:pic="http://schemas.openxmlformats.org/drawingml/2006/picture">
                  <pic:nvPicPr>
                    <pic:cNvPr id="1073741825" name="208.jpg" descr="208.jpg"/>
                    <pic:cNvPicPr>
                      <a:picLocks noChangeAspect="1"/>
                    </pic:cNvPicPr>
                  </pic:nvPicPr>
                  <pic:blipFill>
                    <a:blip r:embed="rId4">
                      <a:extLst/>
                    </a:blip>
                    <a:srcRect l="0" t="0" r="0" b="0"/>
                    <a:stretch>
                      <a:fillRect/>
                    </a:stretch>
                  </pic:blipFill>
                  <pic:spPr>
                    <a:xfrm>
                      <a:off x="0" y="0"/>
                      <a:ext cx="6120057" cy="2868777"/>
                    </a:xfrm>
                    <a:prstGeom prst="rect">
                      <a:avLst/>
                    </a:prstGeom>
                    <a:ln w="12700" cap="flat">
                      <a:noFill/>
                      <a:miter lim="400000"/>
                    </a:ln>
                    <a:effectLst/>
                  </pic:spPr>
                </pic:pic>
              </a:graphicData>
            </a:graphic>
          </wp:anchor>
        </w:drawing>
      </w:r>
      <w:r>
        <mc:AlternateContent>
          <mc:Choice Requires="wps">
            <w:drawing xmlns:a="http://schemas.openxmlformats.org/drawingml/2006/main">
              <wp:anchor distT="0" distB="0" distL="0" distR="0" simplePos="0" relativeHeight="251661312" behindDoc="0" locked="0" layoutInCell="1" allowOverlap="1">
                <wp:simplePos x="0" y="0"/>
                <wp:positionH relativeFrom="margin">
                  <wp:posOffset>12700</wp:posOffset>
                </wp:positionH>
                <wp:positionV relativeFrom="line">
                  <wp:posOffset>3229367</wp:posOffset>
                </wp:positionV>
                <wp:extent cx="6120057" cy="0"/>
                <wp:effectExtent l="0" t="0" r="0" b="0"/>
                <wp:wrapTopAndBottom distT="0" distB="0"/>
                <wp:docPr id="1073741826" name="officeArt object" descr="线条"/>
                <wp:cNvGraphicFramePr/>
                <a:graphic xmlns:a="http://schemas.openxmlformats.org/drawingml/2006/main">
                  <a:graphicData uri="http://schemas.microsoft.com/office/word/2010/wordprocessingShape">
                    <wps:wsp>
                      <wps:cNvSpPr/>
                      <wps:spPr>
                        <a:xfrm>
                          <a:off x="0" y="0"/>
                          <a:ext cx="6120057" cy="0"/>
                        </a:xfrm>
                        <a:prstGeom prst="line">
                          <a:avLst/>
                        </a:prstGeom>
                        <a:noFill/>
                        <a:ln w="25400" cap="flat">
                          <a:solidFill>
                            <a:srgbClr val="000000"/>
                          </a:solidFill>
                          <a:prstDash val="solid"/>
                          <a:miter lim="400000"/>
                        </a:ln>
                        <a:effectLst/>
                      </wps:spPr>
                      <wps:bodyPr/>
                    </wps:wsp>
                  </a:graphicData>
                </a:graphic>
              </wp:anchor>
            </w:drawing>
          </mc:Choice>
          <mc:Fallback>
            <w:pict>
              <v:line id="_x0000_s1026" style="visibility:visible;position:absolute;margin-left:1.0pt;margin-top:254.3pt;width:481.9pt;height:0.0pt;z-index:251661312;mso-position-horizontal:absolute;mso-position-horizontal-relative:margin;mso-position-vertical:absolute;mso-position-vertical-relative:line;mso-wrap-distance-left:0.0pt;mso-wrap-distance-top:0.0pt;mso-wrap-distance-right:0.0pt;mso-wrap-distance-bottom:0.0pt;">
                <v:fill on="f"/>
                <v:stroke filltype="solid" color="#000000" opacity="100.0%" weight="2.0pt" dashstyle="solid" endcap="flat" miterlimit="400.0%" joinstyle="miter" linestyle="single" startarrow="none" startarrowwidth="medium" startarrowlength="medium" endarrow="none" endarrowwidth="medium" endarrowlength="medium"/>
                <w10:wrap type="topAndBottom" side="bothSides" anchorx="margin"/>
              </v:line>
            </w:pict>
          </mc:Fallback>
        </mc:AlternateContent>
      </w:r>
      <w:r>
        <mc:AlternateContent>
          <mc:Choice Requires="wps">
            <w:drawing xmlns:a="http://schemas.openxmlformats.org/drawingml/2006/main">
              <wp:anchor distT="152400" distB="152400" distL="152400" distR="152400" simplePos="0" relativeHeight="251665408" behindDoc="0" locked="0" layoutInCell="1" allowOverlap="1">
                <wp:simplePos x="0" y="0"/>
                <wp:positionH relativeFrom="margin">
                  <wp:posOffset>2548760</wp:posOffset>
                </wp:positionH>
                <wp:positionV relativeFrom="line">
                  <wp:posOffset>202780</wp:posOffset>
                </wp:positionV>
                <wp:extent cx="268881" cy="295866"/>
                <wp:effectExtent l="0" t="0" r="0" b="0"/>
                <wp:wrapNone/>
                <wp:docPr id="1073741827" name="officeArt object" descr="TM"/>
                <wp:cNvGraphicFramePr/>
                <a:graphic xmlns:a="http://schemas.openxmlformats.org/drawingml/2006/main">
                  <a:graphicData uri="http://schemas.microsoft.com/office/word/2010/wordprocessingShape">
                    <wps:wsp>
                      <wps:cNvSpPr txBox="1"/>
                      <wps:spPr>
                        <a:xfrm>
                          <a:off x="0" y="0"/>
                          <a:ext cx="268881" cy="295866"/>
                        </a:xfrm>
                        <a:prstGeom prst="rect">
                          <a:avLst/>
                        </a:prstGeom>
                        <a:noFill/>
                        <a:ln w="12700" cap="flat">
                          <a:noFill/>
                          <a:miter lim="400000"/>
                        </a:ln>
                        <a:effectLst/>
                      </wps:spPr>
                      <wps:txbx>
                        <w:txbxContent>
                          <w:p>
                            <w:pPr>
                              <w:pStyle w:val="正文"/>
                            </w:pPr>
                            <w:r>
                              <w:rPr>
                                <w:rFonts w:ascii="Helvetica Neue" w:hAnsi="Helvetica Neue"/>
                                <w:sz w:val="16"/>
                                <w:szCs w:val="16"/>
                                <w:rtl w:val="0"/>
                                <w:lang w:val="zh-CN" w:eastAsia="zh-CN"/>
                              </w:rPr>
                              <w:t>TM</w:t>
                            </w:r>
                          </w:p>
                        </w:txbxContent>
                      </wps:txbx>
                      <wps:bodyPr wrap="square" lIns="50800" tIns="50800" rIns="50800" bIns="50800" numCol="1" anchor="t">
                        <a:noAutofit/>
                      </wps:bodyPr>
                    </wps:wsp>
                  </a:graphicData>
                </a:graphic>
              </wp:anchor>
            </w:drawing>
          </mc:Choice>
          <mc:Fallback>
            <w:pict>
              <v:shape id="_x0000_s1027" type="#_x0000_t202" style="visibility:visible;position:absolute;margin-left:200.7pt;margin-top:16.0pt;width:21.2pt;height:23.3pt;z-index:251665408;mso-position-horizontal:absolute;mso-position-horizontal-relative:margin;mso-position-vertical:absolute;mso-position-vertical-relative:lin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正文"/>
                      </w:pPr>
                      <w:r>
                        <w:rPr>
                          <w:rFonts w:ascii="Helvetica Neue" w:hAnsi="Helvetica Neue"/>
                          <w:sz w:val="16"/>
                          <w:szCs w:val="16"/>
                          <w:rtl w:val="0"/>
                          <w:lang w:val="zh-CN" w:eastAsia="zh-CN"/>
                        </w:rPr>
                        <w:t>TM</w:t>
                      </w:r>
                    </w:p>
                  </w:txbxContent>
                </v:textbox>
                <w10:wrap type="none" side="bothSides" anchorx="margin"/>
              </v:shape>
            </w:pict>
          </mc:Fallback>
        </mc:AlternateContent>
      </w:r>
    </w:p>
    <w:p>
      <w:pPr>
        <w:pStyle w:val="正文"/>
        <w:spacing w:line="312" w:lineRule="auto"/>
        <w:ind w:firstLine="454"/>
        <w:jc w:val="left"/>
      </w:pPr>
      <w:r>
        <w:rPr>
          <w:rFonts w:ascii="Arial Unicode MS" w:cs="Arial Unicode MS" w:hAnsi="Arial Unicode MS" w:eastAsia="Arial Unicode MS" w:hint="eastAsia"/>
          <w:b w:val="0"/>
          <w:bCs w:val="0"/>
          <w:i w:val="0"/>
          <w:iCs w:val="0"/>
          <w:rtl w:val="0"/>
          <w:lang w:val="zh-CN" w:eastAsia="zh-CN"/>
        </w:rPr>
        <w:t>服务消费正在成为中国消费市场的核心驱动力。未来服务经济将更加注重激发消费者的需求，而不仅仅是满足现有需求。这要求企业通过创新服务模式和提升服务质量来吸引和留住客户</w:t>
      </w:r>
      <w:r>
        <w:rPr>
          <w:rFonts w:ascii="Helvetica Neue" w:hAnsi="Helvetica Neue" w:hint="default"/>
          <w:rtl w:val="1"/>
        </w:rPr>
        <w:t>‌</w:t>
      </w:r>
      <w:r>
        <w:rPr>
          <w:rFonts w:ascii="Arial Unicode MS" w:cs="Arial Unicode MS" w:hAnsi="Arial Unicode MS" w:eastAsia="Arial Unicode MS" w:hint="eastAsia"/>
          <w:b w:val="0"/>
          <w:bCs w:val="0"/>
          <w:i w:val="0"/>
          <w:iCs w:val="0"/>
          <w:rtl w:val="0"/>
        </w:rPr>
        <w:t>。</w:t>
      </w:r>
    </w:p>
    <w:p>
      <w:pPr>
        <w:pStyle w:val="正文"/>
        <w:spacing w:line="312" w:lineRule="auto"/>
        <w:ind w:firstLine="454"/>
        <w:jc w:val="left"/>
      </w:pPr>
      <w:r>
        <w:rPr>
          <w:rFonts w:ascii="Arial Unicode MS" w:cs="Arial Unicode MS" w:hAnsi="Arial Unicode MS" w:eastAsia="Arial Unicode MS" w:hint="eastAsia"/>
          <w:b w:val="0"/>
          <w:bCs w:val="0"/>
          <w:i w:val="0"/>
          <w:iCs w:val="0"/>
          <w:rtl w:val="0"/>
          <w:lang w:val="zh-CN" w:eastAsia="zh-CN"/>
        </w:rPr>
        <w:t>我国服务型消费呈现较快增长态势，未来仍有巨大增长潜力和升级空间。人口老龄化、数字经济发展等因素推动服务型消费的增长。通过结构性改革和数字消费的牵引，可以释放更多的服务型消费潜力</w:t>
      </w:r>
      <w:r>
        <w:rPr>
          <w:rFonts w:ascii="Helvetica Neue" w:hAnsi="Helvetica Neue" w:hint="default"/>
          <w:rtl w:val="1"/>
        </w:rPr>
        <w:t>‌</w:t>
      </w:r>
      <w:r>
        <w:rPr>
          <w:rFonts w:ascii="Arial Unicode MS" w:cs="Arial Unicode MS" w:hAnsi="Arial Unicode MS" w:eastAsia="Arial Unicode MS" w:hint="eastAsia"/>
          <w:b w:val="0"/>
          <w:bCs w:val="0"/>
          <w:i w:val="0"/>
          <w:iCs w:val="0"/>
          <w:rtl w:val="0"/>
        </w:rPr>
        <w:t>。</w:t>
      </w:r>
    </w:p>
    <w:p>
      <w:pPr>
        <w:pStyle w:val="正文"/>
        <w:spacing w:line="312" w:lineRule="auto"/>
        <w:ind w:firstLine="454"/>
        <w:jc w:val="left"/>
      </w:pPr>
      <w:r>
        <w:rPr>
          <w:rFonts w:ascii="Arial Unicode MS" w:cs="Arial Unicode MS" w:hAnsi="Arial Unicode MS" w:eastAsia="Arial Unicode MS" w:hint="eastAsia"/>
          <w:b w:val="0"/>
          <w:bCs w:val="0"/>
          <w:i w:val="0"/>
          <w:iCs w:val="0"/>
          <w:rtl w:val="0"/>
          <w:lang w:val="zh-CN" w:eastAsia="zh-CN"/>
        </w:rPr>
        <w:t>消费者在购物决策上变得更加理性，注重性价比和实用性。精神消费成为新趋势，品牌需要通过提供高品质且耐用的商品和氛围感好的服务来满足消费者的内心舒适度</w:t>
      </w:r>
    </w:p>
    <w:p>
      <w:pPr>
        <w:pStyle w:val="正文"/>
        <w:spacing w:line="312" w:lineRule="auto"/>
        <w:ind w:firstLine="454"/>
        <w:jc w:val="left"/>
      </w:pPr>
      <w:r>
        <w:rPr>
          <w:rFonts w:ascii="Arial Unicode MS" w:cs="Arial Unicode MS" w:hAnsi="Arial Unicode MS" w:eastAsia="Arial Unicode MS" w:hint="eastAsia"/>
          <w:b w:val="0"/>
          <w:bCs w:val="0"/>
          <w:i w:val="0"/>
          <w:iCs w:val="0"/>
          <w:rtl w:val="0"/>
          <w:lang w:val="zh-CN" w:eastAsia="zh-CN"/>
        </w:rPr>
        <w:t>为了从业者更深入的了解</w:t>
      </w:r>
      <w:r>
        <mc:AlternateContent>
          <mc:Choice Requires="wps">
            <w:drawing xmlns:a="http://schemas.openxmlformats.org/drawingml/2006/main">
              <wp:anchor distT="152400" distB="152400" distL="152400" distR="152400" simplePos="0" relativeHeight="251660288" behindDoc="0" locked="0" layoutInCell="1" allowOverlap="1">
                <wp:simplePos x="0" y="0"/>
                <wp:positionH relativeFrom="page">
                  <wp:posOffset>720000</wp:posOffset>
                </wp:positionH>
                <wp:positionV relativeFrom="page">
                  <wp:posOffset>1075180</wp:posOffset>
                </wp:positionV>
                <wp:extent cx="3384071" cy="1765985"/>
                <wp:effectExtent l="0" t="0" r="0" b="0"/>
                <wp:wrapThrough wrapText="bothSides" distL="152400" distR="152400">
                  <wp:wrapPolygon edited="1">
                    <wp:start x="0" y="0"/>
                    <wp:lineTo x="21600" y="0"/>
                    <wp:lineTo x="21600" y="21600"/>
                    <wp:lineTo x="0" y="21600"/>
                    <wp:lineTo x="0" y="0"/>
                  </wp:wrapPolygon>
                </wp:wrapThrough>
                <wp:docPr id="1073741830" name="officeArt object" descr="《新消费之战》…"/>
                <wp:cNvGraphicFramePr/>
                <a:graphic xmlns:a="http://schemas.openxmlformats.org/drawingml/2006/main">
                  <a:graphicData uri="http://schemas.microsoft.com/office/word/2010/wordprocessingShape">
                    <wps:wsp>
                      <wps:cNvSpPr txBox="1"/>
                      <wps:spPr>
                        <a:xfrm>
                          <a:off x="0" y="0"/>
                          <a:ext cx="3384071" cy="1765985"/>
                        </a:xfrm>
                        <a:prstGeom prst="rect">
                          <a:avLst/>
                        </a:prstGeom>
                        <a:noFill/>
                        <a:ln w="12700" cap="flat">
                          <a:noFill/>
                          <a:miter lim="400000"/>
                        </a:ln>
                        <a:effectLst/>
                      </wps:spPr>
                      <wps:txbx>
                        <w:txbxContent>
                          <w:p>
                            <w:pPr>
                              <w:pStyle w:val="正文"/>
                              <w:jc w:val="center"/>
                              <w:rPr>
                                <w:sz w:val="52"/>
                                <w:szCs w:val="52"/>
                              </w:rPr>
                            </w:pPr>
                            <w:r>
                              <w:rPr>
                                <w:rFonts w:ascii="Arial Unicode MS" w:cs="Arial Unicode MS" w:hAnsi="Arial Unicode MS" w:eastAsia="Arial Unicode MS" w:hint="eastAsia"/>
                                <w:b w:val="0"/>
                                <w:bCs w:val="0"/>
                                <w:i w:val="0"/>
                                <w:iCs w:val="0"/>
                                <w:sz w:val="52"/>
                                <w:szCs w:val="52"/>
                                <w:rtl w:val="0"/>
                                <w:lang w:val="zh-CN" w:eastAsia="zh-CN"/>
                              </w:rPr>
                              <w:t>《新消费之战》</w:t>
                            </w:r>
                          </w:p>
                          <w:p>
                            <w:pPr>
                              <w:pStyle w:val="正文"/>
                              <w:jc w:val="center"/>
                              <w:rPr>
                                <w:sz w:val="36"/>
                                <w:szCs w:val="36"/>
                              </w:rPr>
                            </w:pPr>
                            <w:r>
                              <w:rPr>
                                <w:rFonts w:ascii="Arial Unicode MS" w:cs="Arial Unicode MS" w:hAnsi="Arial Unicode MS" w:eastAsia="Arial Unicode MS" w:hint="eastAsia"/>
                                <w:b w:val="0"/>
                                <w:bCs w:val="0"/>
                                <w:i w:val="0"/>
                                <w:iCs w:val="0"/>
                                <w:sz w:val="36"/>
                                <w:szCs w:val="36"/>
                                <w:rtl w:val="0"/>
                                <w:lang w:val="zh-CN" w:eastAsia="zh-CN"/>
                              </w:rPr>
                              <w:t>高质量发展引擎系列沙盘</w:t>
                            </w:r>
                          </w:p>
                          <w:p>
                            <w:pPr>
                              <w:pStyle w:val="正文"/>
                              <w:jc w:val="center"/>
                            </w:pPr>
                          </w:p>
                          <w:p>
                            <w:pPr>
                              <w:pStyle w:val="正文"/>
                              <w:jc w:val="center"/>
                            </w:pPr>
                            <w:r>
                              <w:rPr>
                                <w:rFonts w:ascii="Arial Unicode MS" w:cs="Arial Unicode MS" w:hAnsi="Arial Unicode MS" w:eastAsia="Arial Unicode MS" w:hint="eastAsia"/>
                                <w:b w:val="0"/>
                                <w:bCs w:val="0"/>
                                <w:i w:val="0"/>
                                <w:iCs w:val="0"/>
                                <w:rtl w:val="0"/>
                                <w:lang w:val="zh-CN" w:eastAsia="zh-CN"/>
                              </w:rPr>
                              <w:t>课程讲授：马亮</w:t>
                            </w:r>
                            <w:r/>
                          </w:p>
                        </w:txbxContent>
                      </wps:txbx>
                      <wps:bodyPr wrap="square" lIns="50800" tIns="50800" rIns="50800" bIns="50800" numCol="1" anchor="t">
                        <a:noAutofit/>
                      </wps:bodyPr>
                    </wps:wsp>
                  </a:graphicData>
                </a:graphic>
              </wp:anchor>
            </w:drawing>
          </mc:Choice>
          <mc:Fallback>
            <w:pict>
              <v:shape id="_x0000_s1028" type="#_x0000_t202" style="visibility:visible;position:absolute;margin-left:56.7pt;margin-top:84.7pt;width:266.5pt;height:139.1pt;z-index:251660288;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正文"/>
                        <w:jc w:val="center"/>
                        <w:rPr>
                          <w:sz w:val="52"/>
                          <w:szCs w:val="52"/>
                        </w:rPr>
                      </w:pPr>
                      <w:r>
                        <w:rPr>
                          <w:rFonts w:ascii="Arial Unicode MS" w:cs="Arial Unicode MS" w:hAnsi="Arial Unicode MS" w:eastAsia="Arial Unicode MS" w:hint="eastAsia"/>
                          <w:b w:val="0"/>
                          <w:bCs w:val="0"/>
                          <w:i w:val="0"/>
                          <w:iCs w:val="0"/>
                          <w:sz w:val="52"/>
                          <w:szCs w:val="52"/>
                          <w:rtl w:val="0"/>
                          <w:lang w:val="zh-CN" w:eastAsia="zh-CN"/>
                        </w:rPr>
                        <w:t>《新消费之战》</w:t>
                      </w:r>
                    </w:p>
                    <w:p>
                      <w:pPr>
                        <w:pStyle w:val="正文"/>
                        <w:jc w:val="center"/>
                        <w:rPr>
                          <w:sz w:val="36"/>
                          <w:szCs w:val="36"/>
                        </w:rPr>
                      </w:pPr>
                      <w:r>
                        <w:rPr>
                          <w:rFonts w:ascii="Arial Unicode MS" w:cs="Arial Unicode MS" w:hAnsi="Arial Unicode MS" w:eastAsia="Arial Unicode MS" w:hint="eastAsia"/>
                          <w:b w:val="0"/>
                          <w:bCs w:val="0"/>
                          <w:i w:val="0"/>
                          <w:iCs w:val="0"/>
                          <w:sz w:val="36"/>
                          <w:szCs w:val="36"/>
                          <w:rtl w:val="0"/>
                          <w:lang w:val="zh-CN" w:eastAsia="zh-CN"/>
                        </w:rPr>
                        <w:t>高质量发展引擎系列沙盘</w:t>
                      </w:r>
                    </w:p>
                    <w:p>
                      <w:pPr>
                        <w:pStyle w:val="正文"/>
                        <w:jc w:val="center"/>
                      </w:pPr>
                    </w:p>
                    <w:p>
                      <w:pPr>
                        <w:pStyle w:val="正文"/>
                        <w:jc w:val="center"/>
                      </w:pPr>
                      <w:r>
                        <w:rPr>
                          <w:rFonts w:ascii="Arial Unicode MS" w:cs="Arial Unicode MS" w:hAnsi="Arial Unicode MS" w:eastAsia="Arial Unicode MS" w:hint="eastAsia"/>
                          <w:b w:val="0"/>
                          <w:bCs w:val="0"/>
                          <w:i w:val="0"/>
                          <w:iCs w:val="0"/>
                          <w:rtl w:val="0"/>
                          <w:lang w:val="zh-CN" w:eastAsia="zh-CN"/>
                        </w:rPr>
                        <w:t>课程讲授：马亮</w:t>
                      </w:r>
                      <w:r/>
                    </w:p>
                  </w:txbxContent>
                </v:textbox>
                <w10:wrap type="through" side="bothSides" anchorx="page" anchory="page"/>
              </v:shape>
            </w:pict>
          </mc:Fallback>
        </mc:AlternateContent>
      </w:r>
      <w:r>
        <w:rPr>
          <w:rFonts w:ascii="Arial Unicode MS" w:cs="Arial Unicode MS" w:hAnsi="Arial Unicode MS" w:eastAsia="Arial Unicode MS" w:hint="eastAsia"/>
          <w:b w:val="0"/>
          <w:bCs w:val="0"/>
          <w:i w:val="0"/>
          <w:iCs w:val="0"/>
          <w:rtl w:val="0"/>
          <w:lang w:val="zh-CN" w:eastAsia="zh-CN"/>
        </w:rPr>
        <w:t>行业使命和企业特点，本沙盘将新消费时代企业经营的外部环境变量、竞争因素、业务发展内容等，结合行业的发展和预期，整理在《消费引擎》沙盘中，让行业从业者可以更直观的验证自己的观点。在模拟决策中，结合系统培训班的内容，开拓自身视野和认知找到与企业战略发展的结合点，并最终融入到自己的实际工作中去。</w:t>
      </w:r>
    </w:p>
    <w:p>
      <w:pPr>
        <w:pStyle w:val="默认"/>
        <w:spacing w:after="0"/>
        <w:ind w:firstLine="567"/>
        <w:jc w:val="both"/>
      </w:pPr>
    </w:p>
    <w:p>
      <w:pPr>
        <w:pStyle w:val="正文"/>
        <w:spacing w:line="312" w:lineRule="auto"/>
        <w:ind w:firstLine="454"/>
        <w:jc w:val="left"/>
      </w:pPr>
    </w:p>
    <w:p>
      <w:pPr>
        <w:pStyle w:val="正文"/>
        <w:spacing w:line="312" w:lineRule="auto"/>
        <w:ind w:firstLine="454"/>
        <w:jc w:val="left"/>
      </w:pPr>
    </w:p>
    <w:p>
      <w:pPr>
        <w:pStyle w:val="正文"/>
        <w:spacing w:line="312" w:lineRule="auto"/>
        <w:ind w:firstLine="454"/>
        <w:jc w:val="left"/>
      </w:pPr>
    </w:p>
    <w:p>
      <w:pPr>
        <w:pStyle w:val="正文"/>
        <w:spacing w:line="312" w:lineRule="auto"/>
        <w:ind w:firstLine="454"/>
        <w:jc w:val="left"/>
      </w:pPr>
    </w:p>
    <w:p>
      <w:pPr>
        <w:pStyle w:val="正文"/>
        <w:spacing w:line="312" w:lineRule="auto"/>
        <w:ind w:firstLine="454"/>
        <w:jc w:val="left"/>
      </w:pPr>
    </w:p>
    <w:p>
      <w:pPr>
        <w:pStyle w:val="正文"/>
        <w:spacing w:line="312" w:lineRule="auto"/>
        <w:jc w:val="left"/>
      </w:pPr>
    </w:p>
    <w:p>
      <w:pPr>
        <w:pStyle w:val="正文"/>
        <w:spacing w:line="312" w:lineRule="auto"/>
        <w:jc w:val="left"/>
      </w:pPr>
      <w:r>
        <w:rPr>
          <w:rFonts w:ascii="Arial Unicode MS" w:cs="Arial Unicode MS" w:hAnsi="Arial Unicode MS" w:eastAsia="Arial Unicode MS" w:hint="eastAsia"/>
          <w:b w:val="0"/>
          <w:bCs w:val="0"/>
          <w:i w:val="0"/>
          <w:iCs w:val="0"/>
          <w:sz w:val="32"/>
          <w:szCs w:val="32"/>
          <w:rtl w:val="0"/>
          <w:lang w:val="zh-CN" w:eastAsia="zh-CN"/>
        </w:rPr>
        <w:t>课程概况</w:t>
      </w:r>
      <w:r>
        <mc:AlternateContent>
          <mc:Choice Requires="wps">
            <w:drawing xmlns:a="http://schemas.openxmlformats.org/drawingml/2006/main">
              <wp:anchor distT="0" distB="0" distL="0" distR="0" simplePos="0" relativeHeight="251666432" behindDoc="0" locked="0" layoutInCell="1" allowOverlap="1">
                <wp:simplePos x="0" y="0"/>
                <wp:positionH relativeFrom="margin">
                  <wp:posOffset>12700</wp:posOffset>
                </wp:positionH>
                <wp:positionV relativeFrom="line">
                  <wp:posOffset>3229367</wp:posOffset>
                </wp:positionV>
                <wp:extent cx="6120057" cy="0"/>
                <wp:effectExtent l="0" t="0" r="0" b="0"/>
                <wp:wrapTopAndBottom distT="0" distB="0"/>
                <wp:docPr id="1073741828" name="officeArt object" descr="线条"/>
                <wp:cNvGraphicFramePr/>
                <a:graphic xmlns:a="http://schemas.openxmlformats.org/drawingml/2006/main">
                  <a:graphicData uri="http://schemas.microsoft.com/office/word/2010/wordprocessingShape">
                    <wps:wsp>
                      <wps:cNvSpPr/>
                      <wps:spPr>
                        <a:xfrm>
                          <a:off x="0" y="0"/>
                          <a:ext cx="6120057" cy="0"/>
                        </a:xfrm>
                        <a:prstGeom prst="line">
                          <a:avLst/>
                        </a:prstGeom>
                        <a:noFill/>
                        <a:ln w="25400" cap="flat">
                          <a:solidFill>
                            <a:srgbClr val="000000"/>
                          </a:solidFill>
                          <a:prstDash val="solid"/>
                          <a:miter lim="400000"/>
                        </a:ln>
                        <a:effectLst/>
                      </wps:spPr>
                      <wps:bodyPr/>
                    </wps:wsp>
                  </a:graphicData>
                </a:graphic>
              </wp:anchor>
            </w:drawing>
          </mc:Choice>
          <mc:Fallback>
            <w:pict>
              <v:line id="_x0000_s1029" style="visibility:visible;position:absolute;margin-left:1.0pt;margin-top:254.3pt;width:481.9pt;height:0.0pt;z-index:251666432;mso-position-horizontal:absolute;mso-position-horizontal-relative:margin;mso-position-vertical:absolute;mso-position-vertical-relative:line;mso-wrap-distance-left:0.0pt;mso-wrap-distance-top:0.0pt;mso-wrap-distance-right:0.0pt;mso-wrap-distance-bottom:0.0pt;">
                <v:fill on="f"/>
                <v:stroke filltype="solid" color="#000000" opacity="100.0%" weight="2.0pt" dashstyle="solid" endcap="flat" miterlimit="400.0%" joinstyle="miter" linestyle="single" startarrow="none" startarrowwidth="medium" startarrowlength="medium" endarrow="none" endarrowwidth="medium" endarrowlength="medium"/>
                <w10:wrap type="topAndBottom" side="bothSides" anchorx="margin"/>
              </v:line>
            </w:pict>
          </mc:Fallback>
        </mc:AlternateContent>
      </w:r>
      <w:r>
        <mc:AlternateContent>
          <mc:Choice Requires="wps">
            <w:drawing xmlns:a="http://schemas.openxmlformats.org/drawingml/2006/main">
              <wp:anchor distT="0" distB="0" distL="0" distR="0" simplePos="0" relativeHeight="251667456" behindDoc="0" locked="0" layoutInCell="1" allowOverlap="1">
                <wp:simplePos x="0" y="0"/>
                <wp:positionH relativeFrom="margin">
                  <wp:posOffset>12700</wp:posOffset>
                </wp:positionH>
                <wp:positionV relativeFrom="line">
                  <wp:posOffset>295953</wp:posOffset>
                </wp:positionV>
                <wp:extent cx="6120057" cy="0"/>
                <wp:effectExtent l="0" t="0" r="0" b="0"/>
                <wp:wrapTopAndBottom distT="0" distB="0"/>
                <wp:docPr id="1073741829" name="officeArt object" descr="线条"/>
                <wp:cNvGraphicFramePr/>
                <a:graphic xmlns:a="http://schemas.openxmlformats.org/drawingml/2006/main">
                  <a:graphicData uri="http://schemas.microsoft.com/office/word/2010/wordprocessingShape">
                    <wps:wsp>
                      <wps:cNvSpPr/>
                      <wps:spPr>
                        <a:xfrm>
                          <a:off x="0" y="0"/>
                          <a:ext cx="6120057" cy="0"/>
                        </a:xfrm>
                        <a:prstGeom prst="line">
                          <a:avLst/>
                        </a:prstGeom>
                        <a:noFill/>
                        <a:ln w="25400" cap="flat">
                          <a:solidFill>
                            <a:srgbClr val="000000"/>
                          </a:solidFill>
                          <a:prstDash val="solid"/>
                          <a:miter lim="400000"/>
                        </a:ln>
                        <a:effectLst/>
                      </wps:spPr>
                      <wps:bodyPr/>
                    </wps:wsp>
                  </a:graphicData>
                </a:graphic>
              </wp:anchor>
            </w:drawing>
          </mc:Choice>
          <mc:Fallback>
            <w:pict>
              <v:line id="_x0000_s1030" style="visibility:visible;position:absolute;margin-left:1.0pt;margin-top:23.3pt;width:481.9pt;height:0.0pt;z-index:251667456;mso-position-horizontal:absolute;mso-position-horizontal-relative:margin;mso-position-vertical:absolute;mso-position-vertical-relative:line;mso-wrap-distance-left:0.0pt;mso-wrap-distance-top:0.0pt;mso-wrap-distance-right:0.0pt;mso-wrap-distance-bottom:0.0pt;">
                <v:fill on="f"/>
                <v:stroke filltype="solid" color="#000000" opacity="100.0%" weight="2.0pt" dashstyle="solid" endcap="flat" miterlimit="400.0%" joinstyle="miter" linestyle="single" startarrow="none" startarrowwidth="medium" startarrowlength="medium" endarrow="none" endarrowwidth="medium" endarrowlength="medium"/>
                <w10:wrap type="topAndBottom" side="bothSides" anchorx="margin"/>
              </v:line>
            </w:pict>
          </mc:Fallback>
        </mc:AlternateContent>
      </w:r>
    </w:p>
    <w:p>
      <w:pPr>
        <w:pStyle w:val="正文"/>
        <w:spacing w:line="312" w:lineRule="auto"/>
        <w:jc w:val="left"/>
        <w:rPr>
          <w:b w:val="1"/>
          <w:bCs w:val="1"/>
        </w:rPr>
      </w:pPr>
      <w:r>
        <w:rPr>
          <w:rFonts w:ascii="Arial Unicode MS" w:cs="Arial Unicode MS" w:hAnsi="Arial Unicode MS" w:eastAsia="Arial Unicode MS" w:hint="eastAsia"/>
          <w:b w:val="0"/>
          <w:bCs w:val="0"/>
          <w:i w:val="0"/>
          <w:iCs w:val="0"/>
          <w:rtl w:val="0"/>
          <w:lang w:val="zh-CN" w:eastAsia="zh-CN"/>
        </w:rPr>
        <w:t>沙盘模拟培训特点</w:t>
      </w:r>
    </w:p>
    <w:p>
      <w:pPr>
        <w:pStyle w:val="正文"/>
        <w:numPr>
          <w:ilvl w:val="0"/>
          <w:numId w:val="2"/>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将沙盘模拟应用在培训领域，可以大大提升课程的体验感，让学员在体验中学习，成长。沙盘模拟课程通过对实际工作场景、市场竞争环境、问题分析与解决等过程的模拟，让参与学员对课程的主旨和内容有更深度的认识。</w:t>
      </w:r>
    </w:p>
    <w:p>
      <w:pPr>
        <w:pStyle w:val="正文"/>
        <w:numPr>
          <w:ilvl w:val="0"/>
          <w:numId w:val="2"/>
        </w:numPr>
        <w:spacing w:line="312" w:lineRule="auto"/>
        <w:jc w:val="left"/>
      </w:pPr>
      <w:r>
        <w:rPr>
          <w:rFonts w:ascii="Arial Unicode MS" w:cs="Arial Unicode MS" w:hAnsi="Arial Unicode MS" w:eastAsia="Arial Unicode MS" w:hint="eastAsia"/>
          <w:b w:val="0"/>
          <w:bCs w:val="0"/>
          <w:i w:val="0"/>
          <w:iCs w:val="0"/>
          <w:rtl w:val="0"/>
          <w:lang w:val="zh-CN" w:eastAsia="zh-CN"/>
        </w:rPr>
        <w:t>沙盘模拟课程是一种实战型培训，沙盘的设计逻辑源自实战场景的抽象化概括和总结。同时，沙盘模拟课程的数据和发展也来自于实际行业的研究报告和分析结果。</w:t>
      </w:r>
    </w:p>
    <w:p>
      <w:pPr>
        <w:pStyle w:val="正文"/>
        <w:numPr>
          <w:ilvl w:val="0"/>
          <w:numId w:val="2"/>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沙盘模拟课程最大限度的让学员将自己的思维、习惯、认知显现出来，通过沙盘的推演，每一轮都有及时的反馈，通过模拟的试错，让学员感受到自己的思维、习惯、认知不完善的地方，符合成年人的学习方式：</w:t>
      </w:r>
      <w:r>
        <w:rPr>
          <w:rFonts w:ascii="Helvetica Neue" w:hAnsi="Helvetica Neue"/>
          <w:rtl w:val="0"/>
          <w:lang w:val="zh-CN" w:eastAsia="zh-CN"/>
        </w:rPr>
        <w:t>10%</w:t>
      </w:r>
      <w:r>
        <w:rPr>
          <w:rFonts w:ascii="Arial Unicode MS" w:cs="Arial Unicode MS" w:hAnsi="Arial Unicode MS" w:eastAsia="Arial Unicode MS" w:hint="eastAsia"/>
          <w:b w:val="0"/>
          <w:bCs w:val="0"/>
          <w:i w:val="0"/>
          <w:iCs w:val="0"/>
          <w:rtl w:val="0"/>
          <w:lang w:val="zh-CN" w:eastAsia="zh-CN"/>
        </w:rPr>
        <w:t>来自于读到、</w:t>
      </w:r>
      <w:r>
        <w:rPr>
          <w:rFonts w:ascii="Helvetica Neue" w:hAnsi="Helvetica Neue"/>
          <w:rtl w:val="0"/>
          <w:lang w:val="zh-CN" w:eastAsia="zh-CN"/>
        </w:rPr>
        <w:t>20%</w:t>
      </w:r>
      <w:r>
        <w:rPr>
          <w:rFonts w:ascii="Arial Unicode MS" w:cs="Arial Unicode MS" w:hAnsi="Arial Unicode MS" w:eastAsia="Arial Unicode MS" w:hint="eastAsia"/>
          <w:b w:val="0"/>
          <w:bCs w:val="0"/>
          <w:i w:val="0"/>
          <w:iCs w:val="0"/>
          <w:rtl w:val="0"/>
          <w:lang w:val="zh-CN" w:eastAsia="zh-CN"/>
        </w:rPr>
        <w:t>来自于听到、</w:t>
      </w:r>
      <w:r>
        <w:rPr>
          <w:rFonts w:ascii="Helvetica Neue" w:hAnsi="Helvetica Neue"/>
          <w:rtl w:val="0"/>
          <w:lang w:val="zh-CN" w:eastAsia="zh-CN"/>
        </w:rPr>
        <w:t>70%</w:t>
      </w:r>
      <w:r>
        <w:rPr>
          <w:rFonts w:ascii="Arial Unicode MS" w:cs="Arial Unicode MS" w:hAnsi="Arial Unicode MS" w:eastAsia="Arial Unicode MS" w:hint="eastAsia"/>
          <w:b w:val="0"/>
          <w:bCs w:val="0"/>
          <w:i w:val="0"/>
          <w:iCs w:val="0"/>
          <w:rtl w:val="0"/>
          <w:lang w:val="zh-CN" w:eastAsia="zh-CN"/>
        </w:rPr>
        <w:t>来自于对错误的反思。</w:t>
      </w:r>
    </w:p>
    <w:p>
      <w:pPr>
        <w:pStyle w:val="正文"/>
        <w:spacing w:line="312" w:lineRule="auto"/>
        <w:ind w:firstLine="454"/>
        <w:jc w:val="left"/>
      </w:pPr>
    </w:p>
    <w:p>
      <w:pPr>
        <w:pStyle w:val="正文"/>
        <w:spacing w:line="312" w:lineRule="auto"/>
        <w:jc w:val="left"/>
        <w:rPr>
          <w:sz w:val="32"/>
          <w:szCs w:val="32"/>
        </w:rPr>
      </w:pPr>
      <w:r>
        <w:rPr>
          <w:rFonts w:ascii="Arial Unicode MS" w:cs="Arial Unicode MS" w:hAnsi="Arial Unicode MS" w:eastAsia="Arial Unicode MS" w:hint="eastAsia"/>
          <w:b w:val="0"/>
          <w:bCs w:val="0"/>
          <w:i w:val="0"/>
          <w:iCs w:val="0"/>
          <w:sz w:val="32"/>
          <w:szCs w:val="32"/>
          <w:rtl w:val="0"/>
          <w:lang w:val="zh-CN" w:eastAsia="zh-CN"/>
        </w:rPr>
        <w:t>适合对象</w:t>
      </w:r>
    </w:p>
    <w:p>
      <w:pPr>
        <w:pStyle w:val="正文"/>
        <w:numPr>
          <w:ilvl w:val="0"/>
          <w:numId w:val="2"/>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本</w:t>
      </w:r>
      <w:r>
        <w:rPr>
          <w:rFonts w:ascii="Arial Unicode MS" w:cs="Arial Unicode MS" w:hAnsi="Arial Unicode MS" w:eastAsia="Arial Unicode MS" w:hint="eastAsia"/>
          <w:b w:val="0"/>
          <w:bCs w:val="0"/>
          <w:i w:val="0"/>
          <w:iCs w:val="0"/>
          <w:rtl w:val="0"/>
          <w:lang w:val="zh-CN" w:eastAsia="zh-CN"/>
        </w:rPr>
        <w:t>课程</w:t>
      </w:r>
      <w:r>
        <w:rPr>
          <w:rFonts w:ascii="Arial Unicode MS" w:cs="Arial Unicode MS" w:hAnsi="Arial Unicode MS" w:eastAsia="Arial Unicode MS" w:hint="eastAsia"/>
          <w:b w:val="0"/>
          <w:bCs w:val="0"/>
          <w:i w:val="0"/>
          <w:iCs w:val="0"/>
          <w:rtl w:val="0"/>
          <w:lang w:val="zh-CN" w:eastAsia="zh-CN"/>
        </w:rPr>
        <w:t>适合新零售行业从事营销、服务工作的管理者和骨干员工</w:t>
      </w:r>
    </w:p>
    <w:p>
      <w:pPr>
        <w:pStyle w:val="正文"/>
        <w:spacing w:line="312" w:lineRule="auto"/>
        <w:ind w:firstLine="454"/>
        <w:jc w:val="left"/>
      </w:pPr>
    </w:p>
    <w:p>
      <w:pPr>
        <w:pStyle w:val="正文"/>
        <w:spacing w:line="312" w:lineRule="auto"/>
        <w:jc w:val="left"/>
      </w:pPr>
      <w:r>
        <w:rPr>
          <w:rFonts w:ascii="Arial Unicode MS" w:cs="Arial Unicode MS" w:hAnsi="Arial Unicode MS" w:eastAsia="Arial Unicode MS" w:hint="eastAsia"/>
          <w:b w:val="0"/>
          <w:bCs w:val="0"/>
          <w:i w:val="0"/>
          <w:iCs w:val="0"/>
          <w:sz w:val="32"/>
          <w:szCs w:val="32"/>
          <w:rtl w:val="0"/>
          <w:lang w:val="zh-CN" w:eastAsia="zh-CN"/>
        </w:rPr>
        <w:t>课程收益</w:t>
      </w:r>
      <w:r>
        <mc:AlternateContent>
          <mc:Choice Requires="wps">
            <w:drawing xmlns:a="http://schemas.openxmlformats.org/drawingml/2006/main">
              <wp:anchor distT="0" distB="0" distL="0" distR="0" simplePos="0" relativeHeight="251663360" behindDoc="0" locked="0" layoutInCell="1" allowOverlap="1">
                <wp:simplePos x="0" y="0"/>
                <wp:positionH relativeFrom="margin">
                  <wp:posOffset>12700</wp:posOffset>
                </wp:positionH>
                <wp:positionV relativeFrom="line">
                  <wp:posOffset>284560</wp:posOffset>
                </wp:positionV>
                <wp:extent cx="6120057" cy="0"/>
                <wp:effectExtent l="0" t="0" r="0" b="0"/>
                <wp:wrapTopAndBottom distT="0" distB="0"/>
                <wp:docPr id="1073741831" name="officeArt object" descr="线条"/>
                <wp:cNvGraphicFramePr/>
                <a:graphic xmlns:a="http://schemas.openxmlformats.org/drawingml/2006/main">
                  <a:graphicData uri="http://schemas.microsoft.com/office/word/2010/wordprocessingShape">
                    <wps:wsp>
                      <wps:cNvSpPr/>
                      <wps:spPr>
                        <a:xfrm>
                          <a:off x="0" y="0"/>
                          <a:ext cx="6120057" cy="0"/>
                        </a:xfrm>
                        <a:prstGeom prst="line">
                          <a:avLst/>
                        </a:prstGeom>
                        <a:noFill/>
                        <a:ln w="25400" cap="flat">
                          <a:solidFill>
                            <a:srgbClr val="000000"/>
                          </a:solidFill>
                          <a:prstDash val="solid"/>
                          <a:miter lim="400000"/>
                        </a:ln>
                        <a:effectLst/>
                      </wps:spPr>
                      <wps:bodyPr/>
                    </wps:wsp>
                  </a:graphicData>
                </a:graphic>
              </wp:anchor>
            </w:drawing>
          </mc:Choice>
          <mc:Fallback>
            <w:pict>
              <v:line id="_x0000_s1031" style="visibility:visible;position:absolute;margin-left:1.0pt;margin-top:22.4pt;width:481.9pt;height:0.0pt;z-index:251663360;mso-position-horizontal:absolute;mso-position-horizontal-relative:margin;mso-position-vertical:absolute;mso-position-vertical-relative:line;mso-wrap-distance-left:0.0pt;mso-wrap-distance-top:0.0pt;mso-wrap-distance-right:0.0pt;mso-wrap-distance-bottom:0.0pt;">
                <v:fill on="f"/>
                <v:stroke filltype="solid" color="#000000" opacity="100.0%" weight="2.0pt" dashstyle="solid" endcap="flat" miterlimit="400.0%" joinstyle="miter" linestyle="single" startarrow="none" startarrowwidth="medium" startarrowlength="medium" endarrow="none" endarrowwidth="medium" endarrowlength="medium"/>
                <w10:wrap type="topAndBottom" side="bothSides" anchorx="margin"/>
              </v:line>
            </w:pict>
          </mc:Fallback>
        </mc:AlternateContent>
      </w:r>
    </w:p>
    <w:p>
      <w:pPr>
        <w:pStyle w:val="正文"/>
        <w:spacing w:line="312" w:lineRule="auto"/>
        <w:jc w:val="left"/>
        <w:rPr>
          <w:b w:val="1"/>
          <w:bCs w:val="1"/>
        </w:rPr>
      </w:pPr>
      <w:r>
        <w:rPr>
          <w:rFonts w:ascii="Arial Unicode MS" w:cs="Arial Unicode MS" w:hAnsi="Arial Unicode MS" w:eastAsia="Arial Unicode MS" w:hint="eastAsia"/>
          <w:b w:val="0"/>
          <w:bCs w:val="0"/>
          <w:i w:val="0"/>
          <w:iCs w:val="0"/>
          <w:rtl w:val="0"/>
          <w:lang w:val="zh-CN" w:eastAsia="zh-CN"/>
        </w:rPr>
        <w:t>学员收益</w:t>
      </w:r>
    </w:p>
    <w:p>
      <w:pPr>
        <w:pStyle w:val="正文"/>
        <w:spacing w:line="312" w:lineRule="auto"/>
        <w:ind w:firstLine="454"/>
        <w:jc w:val="left"/>
      </w:pPr>
      <w:r>
        <w:rPr>
          <w:rFonts w:ascii="Helvetica Neue" w:hAnsi="Helvetica Neue"/>
          <w:rtl w:val="0"/>
        </w:rPr>
        <w:t xml:space="preserve">1. </w:t>
      </w:r>
      <w:r>
        <w:rPr>
          <w:rFonts w:ascii="Arial Unicode MS" w:cs="Arial Unicode MS" w:hAnsi="Arial Unicode MS" w:eastAsia="Arial Unicode MS" w:hint="eastAsia"/>
          <w:b w:val="0"/>
          <w:bCs w:val="0"/>
          <w:i w:val="0"/>
          <w:iCs w:val="0"/>
          <w:rtl w:val="0"/>
          <w:lang w:val="zh-CN" w:eastAsia="zh-CN"/>
        </w:rPr>
        <w:t>视野拓宽：通过</w:t>
      </w:r>
      <w:r>
        <w:rPr>
          <w:rFonts w:ascii="Arial Unicode MS" w:cs="Arial Unicode MS" w:hAnsi="Arial Unicode MS" w:eastAsia="Arial Unicode MS" w:hint="eastAsia"/>
          <w:b w:val="0"/>
          <w:bCs w:val="0"/>
          <w:i w:val="0"/>
          <w:iCs w:val="0"/>
          <w:rtl w:val="0"/>
          <w:lang w:val="zh-CN" w:eastAsia="zh-CN"/>
        </w:rPr>
        <w:t>沙盘中的市场洞察环节，</w:t>
      </w:r>
      <w:r>
        <w:rPr>
          <w:rFonts w:ascii="Arial Unicode MS" w:cs="Arial Unicode MS" w:hAnsi="Arial Unicode MS" w:eastAsia="Arial Unicode MS" w:hint="eastAsia"/>
          <w:b w:val="0"/>
          <w:bCs w:val="0"/>
          <w:i w:val="0"/>
          <w:iCs w:val="0"/>
          <w:rtl w:val="0"/>
          <w:lang w:val="zh-CN" w:eastAsia="zh-CN"/>
        </w:rPr>
        <w:t>对宏观经济趋势、行业发展概况和监管政策的深入理解，</w:t>
      </w:r>
      <w:r>
        <w:rPr>
          <w:rFonts w:ascii="Arial Unicode MS" w:cs="Arial Unicode MS" w:hAnsi="Arial Unicode MS" w:eastAsia="Arial Unicode MS" w:hint="eastAsia"/>
          <w:b w:val="0"/>
          <w:bCs w:val="0"/>
          <w:i w:val="0"/>
          <w:iCs w:val="0"/>
          <w:rtl w:val="0"/>
          <w:lang w:val="zh-CN" w:eastAsia="zh-CN"/>
        </w:rPr>
        <w:t>理解高层</w:t>
      </w:r>
      <w:r>
        <w:rPr>
          <w:rFonts w:ascii="Arial Unicode MS" w:cs="Arial Unicode MS" w:hAnsi="Arial Unicode MS" w:eastAsia="Arial Unicode MS" w:hint="eastAsia"/>
          <w:b w:val="0"/>
          <w:bCs w:val="0"/>
          <w:i w:val="0"/>
          <w:iCs w:val="0"/>
          <w:rtl w:val="0"/>
          <w:lang w:val="zh-CN" w:eastAsia="zh-CN"/>
        </w:rPr>
        <w:t>战略决策。</w:t>
      </w:r>
    </w:p>
    <w:p>
      <w:pPr>
        <w:pStyle w:val="正文"/>
        <w:spacing w:line="312" w:lineRule="auto"/>
        <w:ind w:firstLine="454"/>
        <w:jc w:val="left"/>
      </w:pPr>
      <w:r>
        <w:rPr>
          <w:rFonts w:ascii="Helvetica Neue" w:hAnsi="Helvetica Neue"/>
          <w:rtl w:val="0"/>
          <w:lang w:val="zh-CN" w:eastAsia="zh-CN"/>
        </w:rPr>
        <w:t>2</w:t>
      </w:r>
      <w:r>
        <w:rPr>
          <w:rFonts w:ascii="Helvetica Neue" w:hAnsi="Helvetica Neue"/>
          <w:rtl w:val="0"/>
        </w:rPr>
        <w:t xml:space="preserve">. </w:t>
      </w:r>
      <w:r>
        <w:rPr>
          <w:rFonts w:ascii="Arial Unicode MS" w:cs="Arial Unicode MS" w:hAnsi="Arial Unicode MS" w:eastAsia="Arial Unicode MS" w:hint="eastAsia"/>
          <w:b w:val="0"/>
          <w:bCs w:val="0"/>
          <w:i w:val="0"/>
          <w:iCs w:val="0"/>
          <w:rtl w:val="0"/>
          <w:lang w:val="zh-CN" w:eastAsia="zh-CN"/>
        </w:rPr>
        <w:t>服务升级</w:t>
      </w:r>
      <w:r>
        <w:rPr>
          <w:rFonts w:ascii="Arial Unicode MS" w:cs="Arial Unicode MS" w:hAnsi="Arial Unicode MS" w:eastAsia="Arial Unicode MS" w:hint="eastAsia"/>
          <w:b w:val="0"/>
          <w:bCs w:val="0"/>
          <w:i w:val="0"/>
          <w:iCs w:val="0"/>
          <w:rtl w:val="0"/>
        </w:rPr>
        <w:t>：</w:t>
      </w:r>
      <w:r>
        <w:rPr>
          <w:rFonts w:ascii="Arial Unicode MS" w:cs="Arial Unicode MS" w:hAnsi="Arial Unicode MS" w:eastAsia="Arial Unicode MS" w:hint="eastAsia"/>
          <w:b w:val="0"/>
          <w:bCs w:val="0"/>
          <w:i w:val="0"/>
          <w:iCs w:val="0"/>
          <w:rtl w:val="0"/>
          <w:lang w:val="zh-CN" w:eastAsia="zh-CN"/>
        </w:rPr>
        <w:t>通过沙盘推演，了解本岗位在新消费时代应该具备的多元化能力和丰富的价值，从而在岗位上发挥更大的作用，达成服务升级的目标</w:t>
      </w:r>
      <w:r>
        <w:rPr>
          <w:rFonts w:ascii="Arial Unicode MS" w:cs="Arial Unicode MS" w:hAnsi="Arial Unicode MS" w:eastAsia="Arial Unicode MS" w:hint="eastAsia"/>
          <w:b w:val="0"/>
          <w:bCs w:val="0"/>
          <w:i w:val="0"/>
          <w:iCs w:val="0"/>
          <w:rtl w:val="0"/>
        </w:rPr>
        <w:t>。</w:t>
      </w:r>
    </w:p>
    <w:p>
      <w:pPr>
        <w:pStyle w:val="正文"/>
        <w:spacing w:line="312" w:lineRule="auto"/>
        <w:ind w:firstLine="454"/>
        <w:jc w:val="left"/>
      </w:pPr>
      <w:r>
        <w:rPr>
          <w:rFonts w:ascii="Helvetica Neue" w:hAnsi="Helvetica Neue"/>
          <w:rtl w:val="0"/>
          <w:lang w:val="zh-CN" w:eastAsia="zh-CN"/>
        </w:rPr>
        <w:t>3</w:t>
      </w:r>
      <w:r>
        <w:rPr>
          <w:rFonts w:ascii="Helvetica Neue" w:hAnsi="Helvetica Neue"/>
          <w:rtl w:val="0"/>
        </w:rPr>
        <w:t xml:space="preserve">. </w:t>
      </w:r>
      <w:r>
        <w:rPr>
          <w:rFonts w:ascii="Arial Unicode MS" w:cs="Arial Unicode MS" w:hAnsi="Arial Unicode MS" w:eastAsia="Arial Unicode MS" w:hint="eastAsia"/>
          <w:b w:val="0"/>
          <w:bCs w:val="0"/>
          <w:i w:val="0"/>
          <w:iCs w:val="0"/>
          <w:rtl w:val="0"/>
          <w:lang w:val="zh-CN" w:eastAsia="zh-CN"/>
        </w:rPr>
        <w:t>效能提高：学习并实践有效的</w:t>
      </w:r>
      <w:r>
        <w:rPr>
          <w:rFonts w:ascii="Arial Unicode MS" w:cs="Arial Unicode MS" w:hAnsi="Arial Unicode MS" w:eastAsia="Arial Unicode MS" w:hint="eastAsia"/>
          <w:b w:val="0"/>
          <w:bCs w:val="0"/>
          <w:i w:val="0"/>
          <w:iCs w:val="0"/>
          <w:rtl w:val="0"/>
          <w:lang w:val="zh-CN" w:eastAsia="zh-CN"/>
        </w:rPr>
        <w:t>个人成长策略</w:t>
      </w:r>
      <w:r>
        <w:rPr>
          <w:rFonts w:ascii="Arial Unicode MS" w:cs="Arial Unicode MS" w:hAnsi="Arial Unicode MS" w:eastAsia="Arial Unicode MS" w:hint="eastAsia"/>
          <w:b w:val="0"/>
          <w:bCs w:val="0"/>
          <w:i w:val="0"/>
          <w:iCs w:val="0"/>
          <w:rtl w:val="0"/>
          <w:lang w:val="zh-CN" w:eastAsia="zh-CN"/>
        </w:rPr>
        <w:t>，提高管理效能和团队执行力。</w:t>
      </w:r>
    </w:p>
    <w:p>
      <w:pPr>
        <w:pStyle w:val="正文"/>
        <w:spacing w:line="312" w:lineRule="auto"/>
        <w:ind w:firstLine="454"/>
        <w:jc w:val="left"/>
      </w:pPr>
      <w:r>
        <w:rPr>
          <w:rFonts w:ascii="Helvetica Neue" w:hAnsi="Helvetica Neue"/>
          <w:rtl w:val="0"/>
          <w:lang w:val="zh-CN" w:eastAsia="zh-CN"/>
        </w:rPr>
        <w:t>4</w:t>
      </w:r>
      <w:r>
        <w:rPr>
          <w:rFonts w:ascii="Helvetica Neue" w:hAnsi="Helvetica Neue"/>
          <w:rtl w:val="0"/>
        </w:rPr>
        <w:t xml:space="preserve">. </w:t>
      </w:r>
      <w:r>
        <w:rPr>
          <w:rFonts w:ascii="Arial Unicode MS" w:cs="Arial Unicode MS" w:hAnsi="Arial Unicode MS" w:eastAsia="Arial Unicode MS" w:hint="eastAsia"/>
          <w:b w:val="0"/>
          <w:bCs w:val="0"/>
          <w:i w:val="0"/>
          <w:iCs w:val="0"/>
          <w:rtl w:val="0"/>
          <w:lang w:val="zh-CN" w:eastAsia="zh-CN"/>
        </w:rPr>
        <w:t>变革</w:t>
      </w:r>
      <w:r>
        <w:rPr>
          <w:rFonts w:ascii="Arial Unicode MS" w:cs="Arial Unicode MS" w:hAnsi="Arial Unicode MS" w:eastAsia="Arial Unicode MS" w:hint="eastAsia"/>
          <w:b w:val="0"/>
          <w:bCs w:val="0"/>
          <w:i w:val="0"/>
          <w:iCs w:val="0"/>
          <w:rtl w:val="0"/>
          <w:lang w:val="zh-CN" w:eastAsia="zh-CN"/>
        </w:rPr>
        <w:t>发展</w:t>
      </w:r>
      <w:r>
        <w:rPr>
          <w:rFonts w:ascii="Arial Unicode MS" w:cs="Arial Unicode MS" w:hAnsi="Arial Unicode MS" w:eastAsia="Arial Unicode MS" w:hint="eastAsia"/>
          <w:b w:val="0"/>
          <w:bCs w:val="0"/>
          <w:i w:val="0"/>
          <w:iCs w:val="0"/>
          <w:rtl w:val="0"/>
          <w:lang w:val="zh-CN" w:eastAsia="zh-CN"/>
        </w:rPr>
        <w:t>：掌握</w:t>
      </w:r>
      <w:r>
        <w:rPr>
          <w:rFonts w:ascii="Arial Unicode MS" w:cs="Arial Unicode MS" w:hAnsi="Arial Unicode MS" w:eastAsia="Arial Unicode MS" w:hint="eastAsia"/>
          <w:b w:val="0"/>
          <w:bCs w:val="0"/>
          <w:i w:val="0"/>
          <w:iCs w:val="0"/>
          <w:rtl w:val="0"/>
          <w:lang w:val="zh-CN" w:eastAsia="zh-CN"/>
        </w:rPr>
        <w:t>应对</w:t>
      </w:r>
      <w:r>
        <w:rPr>
          <w:rFonts w:ascii="Arial Unicode MS" w:cs="Arial Unicode MS" w:hAnsi="Arial Unicode MS" w:eastAsia="Arial Unicode MS" w:hint="eastAsia"/>
          <w:b w:val="0"/>
          <w:bCs w:val="0"/>
          <w:i w:val="0"/>
          <w:iCs w:val="0"/>
          <w:rtl w:val="0"/>
          <w:lang w:val="zh-CN" w:eastAsia="zh-CN"/>
        </w:rPr>
        <w:t>变革的核心技能，提升适应和引导变革的能力，减少变革过程中的阻力和冲突。</w:t>
      </w:r>
    </w:p>
    <w:p>
      <w:pPr>
        <w:pStyle w:val="正文"/>
        <w:spacing w:line="312" w:lineRule="auto"/>
        <w:ind w:firstLine="454"/>
        <w:jc w:val="left"/>
      </w:pPr>
      <w:r>
        <w:rPr>
          <w:rFonts w:ascii="Helvetica Neue" w:hAnsi="Helvetica Neue"/>
          <w:rtl w:val="0"/>
          <w:lang w:val="zh-CN" w:eastAsia="zh-CN"/>
        </w:rPr>
        <w:t>5</w:t>
      </w:r>
      <w:r>
        <w:rPr>
          <w:rFonts w:ascii="Helvetica Neue" w:hAnsi="Helvetica Neue"/>
          <w:rtl w:val="0"/>
        </w:rPr>
        <w:t xml:space="preserve">. </w:t>
      </w:r>
      <w:r>
        <w:rPr>
          <w:rFonts w:ascii="Arial Unicode MS" w:cs="Arial Unicode MS" w:hAnsi="Arial Unicode MS" w:eastAsia="Arial Unicode MS" w:hint="eastAsia"/>
          <w:b w:val="0"/>
          <w:bCs w:val="0"/>
          <w:i w:val="0"/>
          <w:iCs w:val="0"/>
          <w:rtl w:val="0"/>
          <w:lang w:val="zh-CN" w:eastAsia="zh-CN"/>
        </w:rPr>
        <w:t>职业发展：为个人职业发展提供支持，提升市场竞争力和职业价值。</w:t>
      </w:r>
    </w:p>
    <w:p>
      <w:pPr>
        <w:pStyle w:val="正文"/>
        <w:spacing w:line="312" w:lineRule="auto"/>
        <w:jc w:val="left"/>
        <w:rPr>
          <w:b w:val="1"/>
          <w:bCs w:val="1"/>
        </w:rPr>
      </w:pPr>
      <w:r>
        <w:rPr>
          <w:rFonts w:ascii="Arial Unicode MS" w:cs="Arial Unicode MS" w:hAnsi="Arial Unicode MS" w:eastAsia="Arial Unicode MS" w:hint="eastAsia"/>
          <w:b w:val="0"/>
          <w:bCs w:val="0"/>
          <w:i w:val="0"/>
          <w:iCs w:val="0"/>
          <w:rtl w:val="0"/>
          <w:lang w:val="zh-CN" w:eastAsia="zh-CN"/>
        </w:rPr>
        <w:t>企业受益</w:t>
      </w:r>
    </w:p>
    <w:p>
      <w:pPr>
        <w:pStyle w:val="正文"/>
        <w:spacing w:line="312" w:lineRule="auto"/>
        <w:ind w:firstLine="454"/>
        <w:jc w:val="left"/>
      </w:pPr>
      <w:r>
        <w:rPr>
          <w:rFonts w:ascii="Helvetica Neue" w:hAnsi="Helvetica Neue"/>
          <w:rtl w:val="0"/>
        </w:rPr>
        <w:t xml:space="preserve">1. </w:t>
      </w:r>
      <w:r>
        <w:rPr>
          <w:rFonts w:ascii="Arial Unicode MS" w:cs="Arial Unicode MS" w:hAnsi="Arial Unicode MS" w:eastAsia="Arial Unicode MS" w:hint="eastAsia"/>
          <w:b w:val="0"/>
          <w:bCs w:val="0"/>
          <w:i w:val="0"/>
          <w:iCs w:val="0"/>
          <w:rtl w:val="0"/>
          <w:lang w:val="zh-CN" w:eastAsia="zh-CN"/>
        </w:rPr>
        <w:t>经营战略</w:t>
      </w:r>
      <w:r>
        <w:rPr>
          <w:rFonts w:ascii="Arial Unicode MS" w:cs="Arial Unicode MS" w:hAnsi="Arial Unicode MS" w:eastAsia="Arial Unicode MS" w:hint="eastAsia"/>
          <w:b w:val="0"/>
          <w:bCs w:val="0"/>
          <w:i w:val="0"/>
          <w:iCs w:val="0"/>
          <w:rtl w:val="0"/>
          <w:lang w:val="zh-CN" w:eastAsia="zh-CN"/>
        </w:rPr>
        <w:t>同频</w:t>
      </w:r>
      <w:r>
        <w:rPr>
          <w:rFonts w:ascii="Arial Unicode MS" w:cs="Arial Unicode MS" w:hAnsi="Arial Unicode MS" w:eastAsia="Arial Unicode MS" w:hint="eastAsia"/>
          <w:b w:val="0"/>
          <w:bCs w:val="0"/>
          <w:i w:val="0"/>
          <w:iCs w:val="0"/>
          <w:rtl w:val="0"/>
          <w:lang w:val="zh-CN" w:eastAsia="zh-CN"/>
        </w:rPr>
        <w:t>：管理者能够</w:t>
      </w:r>
      <w:r>
        <w:rPr>
          <w:rFonts w:ascii="Arial Unicode MS" w:cs="Arial Unicode MS" w:hAnsi="Arial Unicode MS" w:eastAsia="Arial Unicode MS" w:hint="eastAsia"/>
          <w:b w:val="0"/>
          <w:bCs w:val="0"/>
          <w:i w:val="0"/>
          <w:iCs w:val="0"/>
          <w:rtl w:val="0"/>
          <w:lang w:val="zh-CN" w:eastAsia="zh-CN"/>
        </w:rPr>
        <w:t>更好更快的</w:t>
      </w:r>
      <w:r>
        <w:rPr>
          <w:rFonts w:ascii="Arial Unicode MS" w:cs="Arial Unicode MS" w:hAnsi="Arial Unicode MS" w:eastAsia="Arial Unicode MS" w:hint="eastAsia"/>
          <w:b w:val="0"/>
          <w:bCs w:val="0"/>
          <w:i w:val="0"/>
          <w:iCs w:val="0"/>
          <w:rtl w:val="0"/>
          <w:lang w:val="zh-CN" w:eastAsia="zh-CN"/>
        </w:rPr>
        <w:t>执行符合市场需求和</w:t>
      </w:r>
      <w:r>
        <w:rPr>
          <w:rFonts w:ascii="Arial Unicode MS" w:cs="Arial Unicode MS" w:hAnsi="Arial Unicode MS" w:eastAsia="Arial Unicode MS" w:hint="eastAsia"/>
          <w:b w:val="0"/>
          <w:bCs w:val="0"/>
          <w:i w:val="0"/>
          <w:iCs w:val="0"/>
          <w:rtl w:val="0"/>
          <w:lang w:val="zh-CN" w:eastAsia="zh-CN"/>
        </w:rPr>
        <w:t>时代需求</w:t>
      </w:r>
      <w:r>
        <w:rPr>
          <w:rFonts w:ascii="Arial Unicode MS" w:cs="Arial Unicode MS" w:hAnsi="Arial Unicode MS" w:eastAsia="Arial Unicode MS" w:hint="eastAsia"/>
          <w:b w:val="0"/>
          <w:bCs w:val="0"/>
          <w:i w:val="0"/>
          <w:iCs w:val="0"/>
          <w:rtl w:val="0"/>
          <w:lang w:val="zh-CN" w:eastAsia="zh-CN"/>
        </w:rPr>
        <w:t>的战略规划。</w:t>
      </w:r>
    </w:p>
    <w:p>
      <w:pPr>
        <w:pStyle w:val="正文"/>
        <w:spacing w:line="312" w:lineRule="auto"/>
        <w:ind w:firstLine="454"/>
        <w:jc w:val="left"/>
      </w:pPr>
      <w:r>
        <w:rPr>
          <w:rFonts w:ascii="Helvetica Neue" w:hAnsi="Helvetica Neue"/>
          <w:rtl w:val="0"/>
        </w:rPr>
        <w:t xml:space="preserve">2. </w:t>
      </w:r>
      <w:r>
        <w:rPr>
          <w:rFonts w:ascii="Arial Unicode MS" w:cs="Arial Unicode MS" w:hAnsi="Arial Unicode MS" w:eastAsia="Arial Unicode MS" w:hint="eastAsia"/>
          <w:b w:val="0"/>
          <w:bCs w:val="0"/>
          <w:i w:val="0"/>
          <w:iCs w:val="0"/>
          <w:rtl w:val="0"/>
          <w:lang w:val="zh-CN" w:eastAsia="zh-CN"/>
        </w:rPr>
        <w:t>竞争</w:t>
      </w:r>
      <w:r>
        <w:rPr>
          <w:rFonts w:ascii="Arial Unicode MS" w:cs="Arial Unicode MS" w:hAnsi="Arial Unicode MS" w:eastAsia="Arial Unicode MS" w:hint="eastAsia"/>
          <w:b w:val="0"/>
          <w:bCs w:val="0"/>
          <w:i w:val="0"/>
          <w:iCs w:val="0"/>
          <w:rtl w:val="0"/>
          <w:lang w:val="zh-CN" w:eastAsia="zh-CN"/>
        </w:rPr>
        <w:t>能力增强：提高企业整体</w:t>
      </w:r>
      <w:r>
        <w:rPr>
          <w:rFonts w:ascii="Arial Unicode MS" w:cs="Arial Unicode MS" w:hAnsi="Arial Unicode MS" w:eastAsia="Arial Unicode MS" w:hint="eastAsia"/>
          <w:b w:val="0"/>
          <w:bCs w:val="0"/>
          <w:i w:val="0"/>
          <w:iCs w:val="0"/>
          <w:rtl w:val="0"/>
          <w:lang w:val="zh-CN" w:eastAsia="zh-CN"/>
        </w:rPr>
        <w:t>竞争意识</w:t>
      </w:r>
      <w:r>
        <w:rPr>
          <w:rFonts w:ascii="Arial Unicode MS" w:cs="Arial Unicode MS" w:hAnsi="Arial Unicode MS" w:eastAsia="Arial Unicode MS" w:hint="eastAsia"/>
          <w:b w:val="0"/>
          <w:bCs w:val="0"/>
          <w:i w:val="0"/>
          <w:iCs w:val="0"/>
          <w:rtl w:val="0"/>
          <w:lang w:val="ja-JP" w:eastAsia="ja-JP"/>
        </w:rPr>
        <w:t>和</w:t>
      </w:r>
      <w:r>
        <w:rPr>
          <w:rFonts w:ascii="Arial Unicode MS" w:cs="Arial Unicode MS" w:hAnsi="Arial Unicode MS" w:eastAsia="Arial Unicode MS" w:hint="eastAsia"/>
          <w:b w:val="0"/>
          <w:bCs w:val="0"/>
          <w:i w:val="0"/>
          <w:iCs w:val="0"/>
          <w:rtl w:val="0"/>
          <w:lang w:val="zh-CN" w:eastAsia="zh-CN"/>
        </w:rPr>
        <w:t>组织能力</w:t>
      </w:r>
      <w:r>
        <w:rPr>
          <w:rFonts w:ascii="Arial Unicode MS" w:cs="Arial Unicode MS" w:hAnsi="Arial Unicode MS" w:eastAsia="Arial Unicode MS" w:hint="eastAsia"/>
          <w:b w:val="0"/>
          <w:bCs w:val="0"/>
          <w:i w:val="0"/>
          <w:iCs w:val="0"/>
          <w:rtl w:val="0"/>
        </w:rPr>
        <w:t>，</w:t>
      </w:r>
      <w:r>
        <w:rPr>
          <w:rFonts w:ascii="Arial Unicode MS" w:cs="Arial Unicode MS" w:hAnsi="Arial Unicode MS" w:eastAsia="Arial Unicode MS" w:hint="eastAsia"/>
          <w:b w:val="0"/>
          <w:bCs w:val="0"/>
          <w:i w:val="0"/>
          <w:iCs w:val="0"/>
          <w:rtl w:val="0"/>
          <w:lang w:val="zh-CN" w:eastAsia="zh-CN"/>
        </w:rPr>
        <w:t>提升组织在激烈市场环境中的竞争力</w:t>
      </w:r>
      <w:r>
        <w:rPr>
          <w:rFonts w:ascii="Arial Unicode MS" w:cs="Arial Unicode MS" w:hAnsi="Arial Unicode MS" w:eastAsia="Arial Unicode MS" w:hint="eastAsia"/>
          <w:b w:val="0"/>
          <w:bCs w:val="0"/>
          <w:i w:val="0"/>
          <w:iCs w:val="0"/>
          <w:rtl w:val="0"/>
        </w:rPr>
        <w:t>。</w:t>
      </w:r>
    </w:p>
    <w:p>
      <w:pPr>
        <w:pStyle w:val="正文"/>
        <w:spacing w:line="312" w:lineRule="auto"/>
        <w:ind w:firstLine="454"/>
        <w:jc w:val="left"/>
      </w:pPr>
      <w:r>
        <w:rPr>
          <w:rFonts w:ascii="Helvetica Neue" w:hAnsi="Helvetica Neue"/>
          <w:rtl w:val="0"/>
          <w:lang w:val="zh-CN" w:eastAsia="zh-CN"/>
        </w:rPr>
        <w:t>3</w:t>
      </w:r>
      <w:r>
        <w:rPr>
          <w:rFonts w:ascii="Helvetica Neue" w:hAnsi="Helvetica Neue"/>
          <w:rtl w:val="0"/>
        </w:rPr>
        <w:t xml:space="preserve">. </w:t>
      </w:r>
      <w:r>
        <w:rPr>
          <w:rFonts w:ascii="Arial Unicode MS" w:cs="Arial Unicode MS" w:hAnsi="Arial Unicode MS" w:eastAsia="Arial Unicode MS" w:hint="eastAsia"/>
          <w:b w:val="0"/>
          <w:bCs w:val="0"/>
          <w:i w:val="0"/>
          <w:iCs w:val="0"/>
          <w:rtl w:val="0"/>
          <w:lang w:val="zh-CN" w:eastAsia="zh-CN"/>
        </w:rPr>
        <w:t>团队效能提高：</w:t>
      </w:r>
      <w:r>
        <w:rPr>
          <w:rFonts w:ascii="Arial Unicode MS" w:cs="Arial Unicode MS" w:hAnsi="Arial Unicode MS" w:eastAsia="Arial Unicode MS" w:hint="eastAsia"/>
          <w:b w:val="0"/>
          <w:bCs w:val="0"/>
          <w:i w:val="0"/>
          <w:iCs w:val="0"/>
          <w:rtl w:val="0"/>
          <w:lang w:val="zh-CN" w:eastAsia="zh-CN"/>
        </w:rPr>
        <w:t>沙盘推演中站在更高的视角看待目前的工作流程</w:t>
      </w:r>
      <w:r>
        <w:rPr>
          <w:rFonts w:ascii="Arial Unicode MS" w:cs="Arial Unicode MS" w:hAnsi="Arial Unicode MS" w:eastAsia="Arial Unicode MS" w:hint="eastAsia"/>
          <w:b w:val="0"/>
          <w:bCs w:val="0"/>
          <w:i w:val="0"/>
          <w:iCs w:val="0"/>
          <w:rtl w:val="0"/>
        </w:rPr>
        <w:t>，</w:t>
      </w:r>
      <w:r>
        <w:rPr>
          <w:rFonts w:ascii="Arial Unicode MS" w:cs="Arial Unicode MS" w:hAnsi="Arial Unicode MS" w:eastAsia="Arial Unicode MS" w:hint="eastAsia"/>
          <w:b w:val="0"/>
          <w:bCs w:val="0"/>
          <w:i w:val="0"/>
          <w:iCs w:val="0"/>
          <w:rtl w:val="0"/>
          <w:lang w:val="zh-CN" w:eastAsia="zh-CN"/>
        </w:rPr>
        <w:t>更好的理解、配合上下流流程，</w:t>
      </w:r>
      <w:r>
        <w:rPr>
          <w:rFonts w:ascii="Arial Unicode MS" w:cs="Arial Unicode MS" w:hAnsi="Arial Unicode MS" w:eastAsia="Arial Unicode MS" w:hint="eastAsia"/>
          <w:b w:val="0"/>
          <w:bCs w:val="0"/>
          <w:i w:val="0"/>
          <w:iCs w:val="0"/>
          <w:rtl w:val="0"/>
          <w:lang w:val="zh-CN" w:eastAsia="zh-CN"/>
        </w:rPr>
        <w:t>提升团队的整体工作效能和业绩。</w:t>
      </w:r>
    </w:p>
    <w:p>
      <w:pPr>
        <w:pStyle w:val="正文"/>
        <w:spacing w:line="312" w:lineRule="auto"/>
        <w:ind w:firstLine="454"/>
        <w:jc w:val="left"/>
      </w:pPr>
      <w:r>
        <w:rPr>
          <w:rFonts w:ascii="Helvetica Neue" w:hAnsi="Helvetica Neue"/>
          <w:rtl w:val="0"/>
          <w:lang w:val="zh-CN" w:eastAsia="zh-CN"/>
        </w:rPr>
        <w:t>4</w:t>
      </w:r>
      <w:r>
        <w:rPr>
          <w:rFonts w:ascii="Helvetica Neue" w:hAnsi="Helvetica Neue"/>
          <w:rtl w:val="0"/>
        </w:rPr>
        <w:t xml:space="preserve">. </w:t>
      </w:r>
      <w:r>
        <w:rPr>
          <w:rFonts w:ascii="Arial Unicode MS" w:cs="Arial Unicode MS" w:hAnsi="Arial Unicode MS" w:eastAsia="Arial Unicode MS" w:hint="eastAsia"/>
          <w:b w:val="0"/>
          <w:bCs w:val="0"/>
          <w:i w:val="0"/>
          <w:iCs w:val="0"/>
          <w:rtl w:val="0"/>
          <w:lang w:val="zh-CN" w:eastAsia="zh-CN"/>
        </w:rPr>
        <w:t>企业文化塑造：培养具有共同价值观和愿景的中高层管理团队</w:t>
      </w:r>
      <w:r>
        <w:rPr>
          <w:rFonts w:ascii="Arial Unicode MS" w:cs="Arial Unicode MS" w:hAnsi="Arial Unicode MS" w:eastAsia="Arial Unicode MS" w:hint="eastAsia"/>
          <w:b w:val="0"/>
          <w:bCs w:val="0"/>
          <w:i w:val="0"/>
          <w:iCs w:val="0"/>
          <w:rtl w:val="0"/>
          <w:lang w:val="zh-CN" w:eastAsia="zh-CN"/>
        </w:rPr>
        <w:t>和骨干员工</w:t>
      </w:r>
      <w:r>
        <w:rPr>
          <w:rFonts w:ascii="Arial Unicode MS" w:cs="Arial Unicode MS" w:hAnsi="Arial Unicode MS" w:eastAsia="Arial Unicode MS" w:hint="eastAsia"/>
          <w:b w:val="0"/>
          <w:bCs w:val="0"/>
          <w:i w:val="0"/>
          <w:iCs w:val="0"/>
          <w:rtl w:val="0"/>
          <w:lang w:val="zh-CN" w:eastAsia="zh-CN"/>
        </w:rPr>
        <w:t>，促进健康的企业文化的形成。</w:t>
      </w:r>
    </w:p>
    <w:p>
      <w:pPr>
        <w:pStyle w:val="正文"/>
        <w:spacing w:line="312" w:lineRule="auto"/>
        <w:ind w:firstLine="454"/>
        <w:jc w:val="left"/>
        <w:rPr>
          <w:sz w:val="24"/>
          <w:szCs w:val="24"/>
        </w:rPr>
      </w:pPr>
    </w:p>
    <w:p>
      <w:pPr>
        <w:pStyle w:val="正文"/>
        <w:spacing w:line="312" w:lineRule="auto"/>
        <w:jc w:val="left"/>
        <w:rPr>
          <w:sz w:val="32"/>
          <w:szCs w:val="32"/>
        </w:rPr>
      </w:pPr>
      <w:r>
        <w:rPr>
          <w:rFonts w:ascii="Arial Unicode MS" w:cs="Arial Unicode MS" w:hAnsi="Arial Unicode MS" w:eastAsia="Arial Unicode MS" w:hint="eastAsia"/>
          <w:b w:val="0"/>
          <w:bCs w:val="0"/>
          <w:i w:val="0"/>
          <w:iCs w:val="0"/>
          <w:sz w:val="32"/>
          <w:szCs w:val="32"/>
          <w:rtl w:val="0"/>
          <w:lang w:val="zh-CN" w:eastAsia="zh-CN"/>
        </w:rPr>
        <w:t>课程大纲</w:t>
      </w:r>
      <w:r>
        <w:rPr>
          <w:sz w:val="32"/>
          <w:szCs w:val="32"/>
        </w:rPr>
        <mc:AlternateContent>
          <mc:Choice Requires="wps">
            <w:drawing xmlns:a="http://schemas.openxmlformats.org/drawingml/2006/main">
              <wp:anchor distT="0" distB="0" distL="0" distR="0" simplePos="0" relativeHeight="251662336" behindDoc="0" locked="0" layoutInCell="1" allowOverlap="1">
                <wp:simplePos x="0" y="0"/>
                <wp:positionH relativeFrom="margin">
                  <wp:posOffset>12700</wp:posOffset>
                </wp:positionH>
                <wp:positionV relativeFrom="line">
                  <wp:posOffset>310619</wp:posOffset>
                </wp:positionV>
                <wp:extent cx="6120057" cy="0"/>
                <wp:effectExtent l="0" t="0" r="0" b="0"/>
                <wp:wrapTopAndBottom distT="0" distB="0"/>
                <wp:docPr id="1073741832" name="officeArt object" descr="线条"/>
                <wp:cNvGraphicFramePr/>
                <a:graphic xmlns:a="http://schemas.openxmlformats.org/drawingml/2006/main">
                  <a:graphicData uri="http://schemas.microsoft.com/office/word/2010/wordprocessingShape">
                    <wps:wsp>
                      <wps:cNvSpPr/>
                      <wps:spPr>
                        <a:xfrm>
                          <a:off x="0" y="0"/>
                          <a:ext cx="6120057" cy="0"/>
                        </a:xfrm>
                        <a:prstGeom prst="line">
                          <a:avLst/>
                        </a:prstGeom>
                        <a:noFill/>
                        <a:ln w="25400" cap="flat">
                          <a:solidFill>
                            <a:srgbClr val="000000"/>
                          </a:solidFill>
                          <a:prstDash val="solid"/>
                          <a:miter lim="400000"/>
                        </a:ln>
                        <a:effectLst/>
                      </wps:spPr>
                      <wps:bodyPr/>
                    </wps:wsp>
                  </a:graphicData>
                </a:graphic>
              </wp:anchor>
            </w:drawing>
          </mc:Choice>
          <mc:Fallback>
            <w:pict>
              <v:line id="_x0000_s1032" style="visibility:visible;position:absolute;margin-left:1.0pt;margin-top:24.5pt;width:481.9pt;height:0.0pt;z-index:251662336;mso-position-horizontal:absolute;mso-position-horizontal-relative:margin;mso-position-vertical:absolute;mso-position-vertical-relative:line;mso-wrap-distance-left:0.0pt;mso-wrap-distance-top:0.0pt;mso-wrap-distance-right:0.0pt;mso-wrap-distance-bottom:0.0pt;">
                <v:fill on="f"/>
                <v:stroke filltype="solid" color="#000000" opacity="100.0%" weight="2.0pt" dashstyle="solid" endcap="flat" miterlimit="400.0%" joinstyle="miter" linestyle="single" startarrow="none" startarrowwidth="medium" startarrowlength="medium" endarrow="none" endarrowwidth="medium" endarrowlength="medium"/>
                <w10:wrap type="topAndBottom" side="bothSides" anchorx="margin"/>
              </v:line>
            </w:pict>
          </mc:Fallback>
        </mc:AlternateContent>
      </w:r>
    </w:p>
    <w:p>
      <w:pPr>
        <w:pStyle w:val="正文"/>
        <w:spacing w:line="312" w:lineRule="auto"/>
        <w:jc w:val="center"/>
        <w:rPr>
          <w:b w:val="1"/>
          <w:bCs w:val="1"/>
          <w:sz w:val="28"/>
          <w:szCs w:val="28"/>
        </w:rPr>
      </w:pPr>
      <w:r>
        <w:rPr>
          <w:rFonts w:ascii="Arial Unicode MS" w:cs="Arial Unicode MS" w:hAnsi="Arial Unicode MS" w:eastAsia="Arial Unicode MS" w:hint="eastAsia"/>
          <w:b w:val="0"/>
          <w:bCs w:val="0"/>
          <w:i w:val="0"/>
          <w:iCs w:val="0"/>
          <w:sz w:val="28"/>
          <w:szCs w:val="28"/>
          <w:rtl w:val="0"/>
        </w:rPr>
        <w:t>第一</w:t>
      </w:r>
      <w:r>
        <w:rPr>
          <w:rFonts w:ascii="Arial Unicode MS" w:cs="Arial Unicode MS" w:hAnsi="Arial Unicode MS" w:eastAsia="Arial Unicode MS" w:hint="eastAsia"/>
          <w:b w:val="0"/>
          <w:bCs w:val="0"/>
          <w:i w:val="0"/>
          <w:iCs w:val="0"/>
          <w:sz w:val="28"/>
          <w:szCs w:val="28"/>
          <w:rtl w:val="0"/>
          <w:lang w:val="zh-CN" w:eastAsia="zh-CN"/>
        </w:rPr>
        <w:t>部分</w:t>
      </w:r>
      <w:r>
        <w:rPr>
          <w:rFonts w:ascii="Helvetica Neue" w:hAnsi="Helvetica Neue"/>
          <w:b w:val="1"/>
          <w:bCs w:val="1"/>
          <w:sz w:val="28"/>
          <w:szCs w:val="28"/>
          <w:rtl w:val="0"/>
        </w:rPr>
        <w:t>:</w:t>
      </w:r>
      <w:r>
        <w:rPr>
          <w:rFonts w:ascii="Arial Unicode MS" w:cs="Arial Unicode MS" w:hAnsi="Arial Unicode MS" w:eastAsia="Arial Unicode MS" w:hint="eastAsia"/>
          <w:b w:val="0"/>
          <w:bCs w:val="0"/>
          <w:i w:val="0"/>
          <w:iCs w:val="0"/>
          <w:sz w:val="28"/>
          <w:szCs w:val="28"/>
          <w:rtl w:val="0"/>
          <w:lang w:val="zh-CN" w:eastAsia="zh-CN"/>
        </w:rPr>
        <w:t>课程导入</w:t>
      </w:r>
    </w:p>
    <w:p>
      <w:pPr>
        <w:pStyle w:val="正文"/>
        <w:spacing w:line="312" w:lineRule="auto"/>
        <w:jc w:val="left"/>
        <w:rPr>
          <w:b w:val="1"/>
          <w:bCs w:val="1"/>
        </w:rPr>
      </w:pPr>
      <w:r>
        <w:rPr>
          <w:rFonts w:ascii="Arial Unicode MS" w:cs="Arial Unicode MS" w:hAnsi="Arial Unicode MS" w:eastAsia="Arial Unicode MS" w:hint="eastAsia"/>
          <w:b w:val="0"/>
          <w:bCs w:val="0"/>
          <w:i w:val="0"/>
          <w:iCs w:val="0"/>
          <w:rtl w:val="0"/>
          <w:lang w:val="zh-CN" w:eastAsia="zh-CN"/>
        </w:rPr>
        <w:t>为什么要用沙盘：</w:t>
      </w:r>
    </w:p>
    <w:p>
      <w:pPr>
        <w:pStyle w:val="正文"/>
        <w:numPr>
          <w:ilvl w:val="0"/>
          <w:numId w:val="4"/>
        </w:numPr>
        <w:spacing w:line="312" w:lineRule="auto"/>
        <w:jc w:val="left"/>
        <w:rPr>
          <w:b w:val="1"/>
          <w:bCs w:val="1"/>
          <w:lang w:val="zh-CN" w:eastAsia="zh-CN"/>
        </w:rPr>
      </w:pPr>
      <w:r>
        <w:rPr>
          <w:rFonts w:ascii="Arial Unicode MS" w:cs="Arial Unicode MS" w:hAnsi="Arial Unicode MS" w:eastAsia="Arial Unicode MS" w:hint="eastAsia"/>
          <w:b w:val="0"/>
          <w:bCs w:val="0"/>
          <w:i w:val="0"/>
          <w:iCs w:val="0"/>
          <w:rtl w:val="0"/>
          <w:lang w:val="zh-CN" w:eastAsia="zh-CN"/>
        </w:rPr>
        <w:t>沙盘课程参与要点；</w:t>
      </w:r>
    </w:p>
    <w:p>
      <w:pPr>
        <w:pStyle w:val="正文"/>
        <w:numPr>
          <w:ilvl w:val="0"/>
          <w:numId w:val="5"/>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入戏：具备一定的想象力，可以将沙盘的元素联系到工作</w:t>
      </w:r>
    </w:p>
    <w:p>
      <w:pPr>
        <w:pStyle w:val="正文"/>
        <w:numPr>
          <w:ilvl w:val="0"/>
          <w:numId w:val="5"/>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出戏：在复盘和总结的阶段，应该能将沙盘的输赢放在其次，收获放在第一位</w:t>
      </w:r>
    </w:p>
    <w:p>
      <w:pPr>
        <w:pStyle w:val="正文"/>
        <w:numPr>
          <w:ilvl w:val="0"/>
          <w:numId w:val="5"/>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试错：将自己的管理思想和行业认知通过沙盘推演的决策呈现出来</w:t>
      </w:r>
    </w:p>
    <w:p>
      <w:pPr>
        <w:pStyle w:val="正文"/>
        <w:numPr>
          <w:ilvl w:val="0"/>
          <w:numId w:val="5"/>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自检：沙盘是对一次系统班学习成果的检验，同时也是对自己思维和认知的具象化</w:t>
      </w:r>
    </w:p>
    <w:p>
      <w:pPr>
        <w:pStyle w:val="正文"/>
        <w:numPr>
          <w:ilvl w:val="0"/>
          <w:numId w:val="4"/>
        </w:numPr>
        <w:spacing w:line="312" w:lineRule="auto"/>
        <w:jc w:val="left"/>
        <w:rPr>
          <w:b w:val="1"/>
          <w:bCs w:val="1"/>
          <w:lang w:val="zh-CN" w:eastAsia="zh-CN"/>
        </w:rPr>
      </w:pPr>
      <w:r>
        <w:rPr>
          <w:rFonts w:ascii="Arial Unicode MS" w:cs="Arial Unicode MS" w:hAnsi="Arial Unicode MS" w:eastAsia="Arial Unicode MS" w:hint="eastAsia"/>
          <w:b w:val="0"/>
          <w:bCs w:val="0"/>
          <w:i w:val="0"/>
          <w:iCs w:val="0"/>
          <w:rtl w:val="0"/>
          <w:lang w:val="zh-CN" w:eastAsia="zh-CN"/>
        </w:rPr>
        <w:t>自我提升迭代的障碍；</w:t>
      </w:r>
    </w:p>
    <w:p>
      <w:pPr>
        <w:pStyle w:val="正文"/>
        <w:numPr>
          <w:ilvl w:val="0"/>
          <w:numId w:val="5"/>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思维因素：</w:t>
      </w:r>
      <w:r>
        <w:rPr>
          <w:rFonts w:ascii="Helvetica Neue" w:hAnsi="Helvetica Neue" w:hint="default"/>
          <w:rtl w:val="0"/>
          <w:lang w:val="zh-CN" w:eastAsia="zh-CN"/>
        </w:rPr>
        <w:t>“</w:t>
      </w:r>
      <w:r>
        <w:rPr>
          <w:rFonts w:ascii="Arial Unicode MS" w:cs="Arial Unicode MS" w:hAnsi="Arial Unicode MS" w:eastAsia="Arial Unicode MS" w:hint="eastAsia"/>
          <w:b w:val="0"/>
          <w:bCs w:val="0"/>
          <w:i w:val="0"/>
          <w:iCs w:val="0"/>
          <w:rtl w:val="0"/>
          <w:lang w:val="zh-CN" w:eastAsia="zh-CN"/>
        </w:rPr>
        <w:t>骑自行车</w:t>
      </w:r>
      <w:r>
        <w:rPr>
          <w:rFonts w:ascii="Helvetica Neue" w:hAnsi="Helvetica Neue" w:hint="default"/>
          <w:rtl w:val="0"/>
          <w:lang w:val="zh-CN" w:eastAsia="zh-CN"/>
        </w:rPr>
        <w:t>”</w:t>
      </w:r>
      <w:r>
        <w:rPr>
          <w:rFonts w:ascii="Arial Unicode MS" w:cs="Arial Unicode MS" w:hAnsi="Arial Unicode MS" w:eastAsia="Arial Unicode MS" w:hint="eastAsia"/>
          <w:b w:val="0"/>
          <w:bCs w:val="0"/>
          <w:i w:val="0"/>
          <w:iCs w:val="0"/>
          <w:rtl w:val="0"/>
          <w:lang w:val="zh-CN" w:eastAsia="zh-CN"/>
        </w:rPr>
        <w:t>理论看变化中的平衡决策</w:t>
      </w:r>
    </w:p>
    <w:p>
      <w:pPr>
        <w:pStyle w:val="正文"/>
        <w:numPr>
          <w:ilvl w:val="0"/>
          <w:numId w:val="5"/>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认知因素：无法站在更高、更全面的认知范围看待问题找到答案</w:t>
      </w:r>
    </w:p>
    <w:p>
      <w:pPr>
        <w:pStyle w:val="正文"/>
        <w:numPr>
          <w:ilvl w:val="0"/>
          <w:numId w:val="5"/>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管理因素：亲力亲为，没有找到综合的提升部门时间管理能力的途径</w:t>
      </w:r>
    </w:p>
    <w:p>
      <w:pPr>
        <w:pStyle w:val="正文"/>
        <w:numPr>
          <w:ilvl w:val="0"/>
          <w:numId w:val="5"/>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技能因素：缺乏打破</w:t>
      </w:r>
      <w:r>
        <w:rPr>
          <w:rFonts w:ascii="Helvetica Neue" w:hAnsi="Helvetica Neue" w:hint="default"/>
          <w:rtl w:val="0"/>
          <w:lang w:val="zh-CN" w:eastAsia="zh-CN"/>
        </w:rPr>
        <w:t>“</w:t>
      </w:r>
      <w:r>
        <w:rPr>
          <w:rFonts w:ascii="Arial Unicode MS" w:cs="Arial Unicode MS" w:hAnsi="Arial Unicode MS" w:eastAsia="Arial Unicode MS" w:hint="eastAsia"/>
          <w:b w:val="0"/>
          <w:bCs w:val="0"/>
          <w:i w:val="0"/>
          <w:iCs w:val="0"/>
          <w:rtl w:val="0"/>
          <w:lang w:val="zh-CN" w:eastAsia="zh-CN"/>
        </w:rPr>
        <w:t>天花板</w:t>
      </w:r>
      <w:r>
        <w:rPr>
          <w:rFonts w:ascii="Helvetica Neue" w:hAnsi="Helvetica Neue" w:hint="default"/>
          <w:rtl w:val="0"/>
          <w:lang w:val="zh-CN" w:eastAsia="zh-CN"/>
        </w:rPr>
        <w:t>”</w:t>
      </w:r>
      <w:r>
        <w:rPr>
          <w:rFonts w:ascii="Arial Unicode MS" w:cs="Arial Unicode MS" w:hAnsi="Arial Unicode MS" w:eastAsia="Arial Unicode MS" w:hint="eastAsia"/>
          <w:b w:val="0"/>
          <w:bCs w:val="0"/>
          <w:i w:val="0"/>
          <w:iCs w:val="0"/>
          <w:rtl w:val="0"/>
          <w:lang w:val="zh-CN" w:eastAsia="zh-CN"/>
        </w:rPr>
        <w:t>的能力和可能性</w:t>
      </w:r>
    </w:p>
    <w:p>
      <w:pPr>
        <w:pStyle w:val="正文"/>
        <w:numPr>
          <w:ilvl w:val="0"/>
          <w:numId w:val="5"/>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五大缺陷：人类大搞第一系统和第二系统之间的五大缺陷，造成了时间管理的潜在问题</w:t>
      </w:r>
      <w:r>
        <w:drawing xmlns:a="http://schemas.openxmlformats.org/drawingml/2006/main">
          <wp:anchor distT="152400" distB="152400" distL="152400" distR="152400" simplePos="0" relativeHeight="251668480" behindDoc="0" locked="0" layoutInCell="1" allowOverlap="1">
            <wp:simplePos x="0" y="0"/>
            <wp:positionH relativeFrom="margin">
              <wp:posOffset>1560747</wp:posOffset>
            </wp:positionH>
            <wp:positionV relativeFrom="line">
              <wp:posOffset>281390</wp:posOffset>
            </wp:positionV>
            <wp:extent cx="2985863" cy="1933097"/>
            <wp:effectExtent l="0" t="0" r="0" b="0"/>
            <wp:wrapTopAndBottom distT="152400" distB="152400"/>
            <wp:docPr id="1073741833" name="officeArt object" descr="截屏2024-04-11 16.51.54.png"/>
            <wp:cNvGraphicFramePr/>
            <a:graphic xmlns:a="http://schemas.openxmlformats.org/drawingml/2006/main">
              <a:graphicData uri="http://schemas.openxmlformats.org/drawingml/2006/picture">
                <pic:pic xmlns:pic="http://schemas.openxmlformats.org/drawingml/2006/picture">
                  <pic:nvPicPr>
                    <pic:cNvPr id="1073741833" name="截屏2024-04-11 16.51.54.png" descr="截屏2024-04-11 16.51.54.png"/>
                    <pic:cNvPicPr>
                      <a:picLocks noChangeAspect="1"/>
                    </pic:cNvPicPr>
                  </pic:nvPicPr>
                  <pic:blipFill>
                    <a:blip r:embed="rId5">
                      <a:extLst/>
                    </a:blip>
                    <a:stretch>
                      <a:fillRect/>
                    </a:stretch>
                  </pic:blipFill>
                  <pic:spPr>
                    <a:xfrm>
                      <a:off x="0" y="0"/>
                      <a:ext cx="2985863" cy="1933097"/>
                    </a:xfrm>
                    <a:prstGeom prst="rect">
                      <a:avLst/>
                    </a:prstGeom>
                    <a:ln w="12700" cap="flat">
                      <a:noFill/>
                      <a:miter lim="400000"/>
                    </a:ln>
                    <a:effectLst/>
                  </pic:spPr>
                </pic:pic>
              </a:graphicData>
            </a:graphic>
          </wp:anchor>
        </w:drawing>
      </w:r>
    </w:p>
    <w:p>
      <w:pPr>
        <w:pStyle w:val="正文"/>
        <w:spacing w:line="312" w:lineRule="auto"/>
        <w:jc w:val="left"/>
      </w:pPr>
    </w:p>
    <w:p>
      <w:pPr>
        <w:pStyle w:val="正文"/>
        <w:spacing w:line="312" w:lineRule="auto"/>
        <w:jc w:val="left"/>
        <w:rPr>
          <w:b w:val="1"/>
          <w:bCs w:val="1"/>
        </w:rPr>
      </w:pPr>
    </w:p>
    <w:p>
      <w:pPr>
        <w:pStyle w:val="正文"/>
        <w:spacing w:line="312" w:lineRule="auto"/>
        <w:jc w:val="left"/>
        <w:rPr>
          <w:b w:val="1"/>
          <w:bCs w:val="1"/>
        </w:rPr>
      </w:pPr>
    </w:p>
    <w:p>
      <w:pPr>
        <w:pStyle w:val="正文"/>
        <w:spacing w:line="312" w:lineRule="auto"/>
        <w:jc w:val="center"/>
        <w:rPr>
          <w:b w:val="1"/>
          <w:bCs w:val="1"/>
          <w:sz w:val="28"/>
          <w:szCs w:val="28"/>
        </w:rPr>
      </w:pPr>
      <w:r>
        <w:rPr>
          <w:rFonts w:ascii="Arial Unicode MS" w:cs="Arial Unicode MS" w:hAnsi="Arial Unicode MS" w:eastAsia="Arial Unicode MS" w:hint="eastAsia"/>
          <w:b w:val="0"/>
          <w:bCs w:val="0"/>
          <w:i w:val="0"/>
          <w:iCs w:val="0"/>
          <w:sz w:val="28"/>
          <w:szCs w:val="28"/>
          <w:rtl w:val="0"/>
        </w:rPr>
        <w:t>第二</w:t>
      </w:r>
      <w:r>
        <w:rPr>
          <w:rFonts w:ascii="Arial Unicode MS" w:cs="Arial Unicode MS" w:hAnsi="Arial Unicode MS" w:eastAsia="Arial Unicode MS" w:hint="eastAsia"/>
          <w:b w:val="0"/>
          <w:bCs w:val="0"/>
          <w:i w:val="0"/>
          <w:iCs w:val="0"/>
          <w:sz w:val="28"/>
          <w:szCs w:val="28"/>
          <w:rtl w:val="0"/>
          <w:lang w:val="zh-CN" w:eastAsia="zh-CN"/>
        </w:rPr>
        <w:t>部分</w:t>
      </w:r>
      <w:r>
        <w:rPr>
          <w:rFonts w:ascii="Helvetica Neue" w:hAnsi="Helvetica Neue"/>
          <w:b w:val="1"/>
          <w:bCs w:val="1"/>
          <w:sz w:val="28"/>
          <w:szCs w:val="28"/>
          <w:rtl w:val="0"/>
        </w:rPr>
        <w:t>:</w:t>
      </w:r>
      <w:r>
        <w:rPr>
          <w:rFonts w:ascii="Arial Unicode MS" w:cs="Arial Unicode MS" w:hAnsi="Arial Unicode MS" w:eastAsia="Arial Unicode MS" w:hint="eastAsia"/>
          <w:b w:val="0"/>
          <w:bCs w:val="0"/>
          <w:i w:val="0"/>
          <w:iCs w:val="0"/>
          <w:sz w:val="28"/>
          <w:szCs w:val="28"/>
          <w:rtl w:val="0"/>
          <w:lang w:val="zh-CN" w:eastAsia="zh-CN"/>
        </w:rPr>
        <w:t>《消费引擎》沙盘推演</w:t>
      </w:r>
    </w:p>
    <w:p>
      <w:pPr>
        <w:pStyle w:val="正文"/>
        <w:spacing w:line="312" w:lineRule="auto"/>
        <w:jc w:val="left"/>
        <w:rPr>
          <w:b w:val="1"/>
          <w:bCs w:val="1"/>
        </w:rPr>
      </w:pPr>
      <w:r>
        <w:rPr>
          <w:rFonts w:ascii="Arial Unicode MS" w:cs="Arial Unicode MS" w:hAnsi="Arial Unicode MS" w:eastAsia="Arial Unicode MS" w:hint="eastAsia"/>
          <w:b w:val="0"/>
          <w:bCs w:val="0"/>
          <w:i w:val="0"/>
          <w:iCs w:val="0"/>
          <w:rtl w:val="0"/>
          <w:lang w:val="zh-CN" w:eastAsia="zh-CN"/>
        </w:rPr>
        <w:t>第一阶段：</w:t>
      </w:r>
      <w:r>
        <w:rPr>
          <w:rFonts w:ascii="Helvetica Neue" w:hAnsi="Helvetica Neue"/>
          <w:b w:val="1"/>
          <w:bCs w:val="1"/>
          <w:rtl w:val="0"/>
          <w:lang w:val="zh-CN" w:eastAsia="zh-CN"/>
        </w:rPr>
        <w:t>1</w:t>
      </w:r>
      <w:r>
        <w:rPr>
          <w:rFonts w:ascii="Arial Unicode MS" w:cs="Arial Unicode MS" w:hAnsi="Arial Unicode MS" w:eastAsia="Arial Unicode MS" w:hint="eastAsia"/>
          <w:b w:val="0"/>
          <w:bCs w:val="0"/>
          <w:i w:val="0"/>
          <w:iCs w:val="0"/>
          <w:rtl w:val="0"/>
          <w:lang w:val="zh-CN" w:eastAsia="zh-CN"/>
        </w:rPr>
        <w:t>～</w:t>
      </w:r>
      <w:r>
        <w:rPr>
          <w:rFonts w:ascii="Helvetica Neue" w:hAnsi="Helvetica Neue"/>
          <w:b w:val="1"/>
          <w:bCs w:val="1"/>
          <w:rtl w:val="0"/>
          <w:lang w:val="zh-CN" w:eastAsia="zh-CN"/>
        </w:rPr>
        <w:t>3</w:t>
      </w:r>
      <w:r>
        <w:rPr>
          <w:rFonts w:ascii="Arial Unicode MS" w:cs="Arial Unicode MS" w:hAnsi="Arial Unicode MS" w:eastAsia="Arial Unicode MS" w:hint="eastAsia"/>
          <w:b w:val="0"/>
          <w:bCs w:val="0"/>
          <w:i w:val="0"/>
          <w:iCs w:val="0"/>
          <w:rtl w:val="0"/>
          <w:lang w:val="zh-CN" w:eastAsia="zh-CN"/>
        </w:rPr>
        <w:t>轮</w:t>
      </w:r>
    </w:p>
    <w:p>
      <w:pPr>
        <w:pStyle w:val="正文"/>
        <w:spacing w:line="312" w:lineRule="auto"/>
        <w:jc w:val="left"/>
        <w:rPr>
          <w:b w:val="1"/>
          <w:bCs w:val="1"/>
        </w:rPr>
      </w:pPr>
      <w:r>
        <w:rPr>
          <w:rFonts w:ascii="Arial Unicode MS" w:cs="Arial Unicode MS" w:hAnsi="Arial Unicode MS" w:eastAsia="Arial Unicode MS" w:hint="eastAsia"/>
          <w:b w:val="0"/>
          <w:bCs w:val="0"/>
          <w:i w:val="0"/>
          <w:iCs w:val="0"/>
          <w:rtl w:val="0"/>
          <w:lang w:val="zh-CN" w:eastAsia="zh-CN"/>
        </w:rPr>
        <w:t>沙盘背景介绍</w:t>
      </w:r>
    </w:p>
    <w:p>
      <w:pPr>
        <w:pStyle w:val="正文"/>
        <w:numPr>
          <w:ilvl w:val="0"/>
          <w:numId w:val="5"/>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各小组模拟一个区域的公司经营管理。</w:t>
      </w:r>
    </w:p>
    <w:p>
      <w:pPr>
        <w:pStyle w:val="正文"/>
        <w:numPr>
          <w:ilvl w:val="0"/>
          <w:numId w:val="5"/>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模拟开局：客户存量大，有一定的市场知名度，但也有很多显性的和潜在的竞争对手。</w:t>
      </w:r>
    </w:p>
    <w:p>
      <w:pPr>
        <w:pStyle w:val="正文"/>
        <w:numPr>
          <w:ilvl w:val="0"/>
          <w:numId w:val="5"/>
        </w:numPr>
        <w:spacing w:line="312" w:lineRule="auto"/>
        <w:jc w:val="left"/>
        <w:rPr>
          <w:lang w:val="zh-CN" w:eastAsia="zh-CN"/>
        </w:rPr>
      </w:pPr>
      <w:r>
        <w:rPr>
          <w:rFonts w:ascii="Helvetica Neue" w:hAnsi="Helvetica Neue"/>
          <w:rtl w:val="0"/>
          <w:lang w:val="zh-CN" w:eastAsia="zh-CN"/>
        </w:rPr>
        <w:t>NPC</w:t>
      </w:r>
      <w:r>
        <w:rPr>
          <w:rFonts w:ascii="Arial Unicode MS" w:cs="Arial Unicode MS" w:hAnsi="Arial Unicode MS" w:eastAsia="Arial Unicode MS" w:hint="eastAsia"/>
          <w:b w:val="0"/>
          <w:bCs w:val="0"/>
          <w:i w:val="0"/>
          <w:iCs w:val="0"/>
          <w:rtl w:val="0"/>
          <w:lang w:val="zh-CN" w:eastAsia="zh-CN"/>
        </w:rPr>
        <w:t>（沙盘引导师）每个阶段都会将</w:t>
      </w:r>
      <w:r>
        <w:rPr>
          <w:rFonts w:ascii="Helvetica Neue" w:hAnsi="Helvetica Neue" w:hint="default"/>
          <w:rtl w:val="0"/>
          <w:lang w:val="zh-CN" w:eastAsia="zh-CN"/>
        </w:rPr>
        <w:t>“</w:t>
      </w:r>
      <w:r>
        <w:rPr>
          <w:rFonts w:ascii="Arial Unicode MS" w:cs="Arial Unicode MS" w:hAnsi="Arial Unicode MS" w:eastAsia="Arial Unicode MS" w:hint="eastAsia"/>
          <w:b w:val="0"/>
          <w:bCs w:val="0"/>
          <w:i w:val="0"/>
          <w:iCs w:val="0"/>
          <w:rtl w:val="0"/>
          <w:lang w:val="zh-CN" w:eastAsia="zh-CN"/>
        </w:rPr>
        <w:t>打包</w:t>
      </w:r>
      <w:r>
        <w:rPr>
          <w:rFonts w:ascii="Helvetica Neue" w:hAnsi="Helvetica Neue" w:hint="default"/>
          <w:rtl w:val="0"/>
          <w:lang w:val="zh-CN" w:eastAsia="zh-CN"/>
        </w:rPr>
        <w:t>”</w:t>
      </w:r>
      <w:r>
        <w:rPr>
          <w:rFonts w:ascii="Arial Unicode MS" w:cs="Arial Unicode MS" w:hAnsi="Arial Unicode MS" w:eastAsia="Arial Unicode MS" w:hint="eastAsia"/>
          <w:b w:val="0"/>
          <w:bCs w:val="0"/>
          <w:i w:val="0"/>
          <w:iCs w:val="0"/>
          <w:rtl w:val="0"/>
          <w:lang w:val="zh-CN" w:eastAsia="zh-CN"/>
        </w:rPr>
        <w:t>好的订单推向市场，各小组的</w:t>
      </w:r>
      <w:r>
        <w:rPr>
          <w:rFonts w:ascii="Helvetica Neue" w:hAnsi="Helvetica Neue" w:hint="default"/>
          <w:rtl w:val="0"/>
          <w:lang w:val="zh-CN" w:eastAsia="zh-CN"/>
        </w:rPr>
        <w:t>“</w:t>
      </w:r>
      <w:r>
        <w:rPr>
          <w:rFonts w:ascii="Arial Unicode MS" w:cs="Arial Unicode MS" w:hAnsi="Arial Unicode MS" w:eastAsia="Arial Unicode MS" w:hint="eastAsia"/>
          <w:b w:val="0"/>
          <w:bCs w:val="0"/>
          <w:i w:val="0"/>
          <w:iCs w:val="0"/>
          <w:rtl w:val="0"/>
          <w:lang w:val="zh-CN" w:eastAsia="zh-CN"/>
        </w:rPr>
        <w:t>业务部门</w:t>
      </w:r>
      <w:r>
        <w:rPr>
          <w:rFonts w:ascii="Helvetica Neue" w:hAnsi="Helvetica Neue" w:hint="default"/>
          <w:rtl w:val="0"/>
          <w:lang w:val="zh-CN" w:eastAsia="zh-CN"/>
        </w:rPr>
        <w:t>”</w:t>
      </w:r>
      <w:r>
        <w:rPr>
          <w:rFonts w:ascii="Arial Unicode MS" w:cs="Arial Unicode MS" w:hAnsi="Arial Unicode MS" w:eastAsia="Arial Unicode MS" w:hint="eastAsia"/>
          <w:b w:val="0"/>
          <w:bCs w:val="0"/>
          <w:i w:val="0"/>
          <w:iCs w:val="0"/>
          <w:rtl w:val="0"/>
          <w:lang w:val="zh-CN" w:eastAsia="zh-CN"/>
        </w:rPr>
        <w:t>需要跟进，并最终决定是否接单。</w:t>
      </w:r>
    </w:p>
    <w:p>
      <w:pPr>
        <w:pStyle w:val="正文"/>
        <w:numPr>
          <w:ilvl w:val="0"/>
          <w:numId w:val="5"/>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每一轮都会有一些行业信息公布，各小组需要对信息的分解，作为自己的决策依据。</w:t>
      </w:r>
    </w:p>
    <w:p>
      <w:pPr>
        <w:pStyle w:val="正文"/>
        <w:numPr>
          <w:ilvl w:val="0"/>
          <w:numId w:val="5"/>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角色划分：</w:t>
      </w:r>
    </w:p>
    <w:p>
      <w:pPr>
        <w:pStyle w:val="正文"/>
        <w:numPr>
          <w:ilvl w:val="0"/>
          <w:numId w:val="7"/>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行政官：负责日常运营，模拟职能部门。</w:t>
      </w:r>
    </w:p>
    <w:p>
      <w:pPr>
        <w:pStyle w:val="正文"/>
        <w:numPr>
          <w:ilvl w:val="0"/>
          <w:numId w:val="7"/>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发展官：负责市场洞察，模拟的战略部门。</w:t>
      </w:r>
    </w:p>
    <w:p>
      <w:pPr>
        <w:pStyle w:val="正文"/>
        <w:numPr>
          <w:ilvl w:val="0"/>
          <w:numId w:val="7"/>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财务官：负责收支平衡，模拟财务部门。</w:t>
      </w:r>
    </w:p>
    <w:p>
      <w:pPr>
        <w:pStyle w:val="正文"/>
        <w:numPr>
          <w:ilvl w:val="0"/>
          <w:numId w:val="7"/>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质量部：负责产品和服务的质量，模拟质量部门。</w:t>
      </w:r>
    </w:p>
    <w:p>
      <w:pPr>
        <w:pStyle w:val="正文"/>
        <w:numPr>
          <w:ilvl w:val="0"/>
          <w:numId w:val="7"/>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业务部：负责满足客户需求的业务过程。</w:t>
      </w:r>
    </w:p>
    <w:p>
      <w:pPr>
        <w:pStyle w:val="正文"/>
        <w:numPr>
          <w:ilvl w:val="0"/>
          <w:numId w:val="7"/>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产品部：负责多元化服务，模拟管理者的创新创造。</w:t>
      </w:r>
    </w:p>
    <w:p>
      <w:pPr>
        <w:pStyle w:val="正文"/>
        <w:numPr>
          <w:ilvl w:val="0"/>
          <w:numId w:val="7"/>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人资部：负责招募团队，并通过有效的激励，提高人均产出。模拟团队建设和发展。</w:t>
      </w:r>
    </w:p>
    <w:p>
      <w:pPr>
        <w:pStyle w:val="正文"/>
        <w:numPr>
          <w:ilvl w:val="0"/>
          <w:numId w:val="7"/>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科技部：负责数字化和智能化，模拟数字化转型中的效率提升。</w:t>
      </w:r>
    </w:p>
    <w:p>
      <w:pPr>
        <w:pStyle w:val="正文"/>
        <w:numPr>
          <w:ilvl w:val="0"/>
          <w:numId w:val="5"/>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关键资源：资源币、竞争力、资产包、行业洞察</w:t>
      </w:r>
    </w:p>
    <w:p>
      <w:pPr>
        <w:pStyle w:val="正文"/>
        <w:numPr>
          <w:ilvl w:val="0"/>
          <w:numId w:val="7"/>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资源币：核心资源，模拟银行可以用来开展运营的资源。</w:t>
      </w:r>
    </w:p>
    <w:p>
      <w:pPr>
        <w:pStyle w:val="正文"/>
        <w:numPr>
          <w:ilvl w:val="0"/>
          <w:numId w:val="7"/>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竞争力：通过业务不断开展，做出正确的决策和反馈，提升组织的市场竞争力。</w:t>
      </w:r>
    </w:p>
    <w:p>
      <w:pPr>
        <w:pStyle w:val="正文"/>
        <w:numPr>
          <w:ilvl w:val="0"/>
          <w:numId w:val="7"/>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行业洞察：反博弈任务，变化的环境下如何持续高效。</w:t>
      </w:r>
    </w:p>
    <w:p>
      <w:pPr>
        <w:pStyle w:val="正文"/>
        <w:spacing w:line="312" w:lineRule="auto"/>
        <w:jc w:val="left"/>
      </w:pPr>
    </w:p>
    <w:p>
      <w:pPr>
        <w:pStyle w:val="正文"/>
        <w:spacing w:line="312" w:lineRule="auto"/>
        <w:jc w:val="left"/>
        <w:rPr>
          <w:b w:val="1"/>
          <w:bCs w:val="1"/>
        </w:rPr>
      </w:pPr>
      <w:r>
        <w:rPr>
          <w:rFonts w:ascii="Arial Unicode MS" w:cs="Arial Unicode MS" w:hAnsi="Arial Unicode MS" w:eastAsia="Arial Unicode MS" w:hint="eastAsia"/>
          <w:b w:val="0"/>
          <w:bCs w:val="0"/>
          <w:i w:val="0"/>
          <w:iCs w:val="0"/>
          <w:rtl w:val="0"/>
          <w:lang w:val="zh-CN" w:eastAsia="zh-CN"/>
        </w:rPr>
        <w:t>一阶段分享主题：打破固有认知的难点</w:t>
      </w:r>
    </w:p>
    <w:p>
      <w:pPr>
        <w:pStyle w:val="正文"/>
        <w:numPr>
          <w:ilvl w:val="0"/>
          <w:numId w:val="8"/>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思维的惯性：新消费时代类似</w:t>
      </w:r>
      <w:r>
        <w:rPr>
          <w:rFonts w:ascii="Helvetica Neue" w:hAnsi="Helvetica Neue" w:hint="default"/>
          <w:rtl w:val="0"/>
          <w:lang w:val="zh-CN" w:eastAsia="zh-CN"/>
        </w:rPr>
        <w:t>“</w:t>
      </w:r>
      <w:r>
        <w:rPr>
          <w:rFonts w:ascii="Arial Unicode MS" w:cs="Arial Unicode MS" w:hAnsi="Arial Unicode MS" w:eastAsia="Arial Unicode MS" w:hint="eastAsia"/>
          <w:b w:val="0"/>
          <w:bCs w:val="0"/>
          <w:i w:val="0"/>
          <w:iCs w:val="0"/>
          <w:rtl w:val="0"/>
          <w:lang w:val="zh-CN" w:eastAsia="zh-CN"/>
        </w:rPr>
        <w:t>无人零售</w:t>
      </w:r>
      <w:r>
        <w:rPr>
          <w:rFonts w:ascii="Helvetica Neue" w:hAnsi="Helvetica Neue" w:hint="default"/>
          <w:rtl w:val="0"/>
          <w:lang w:val="zh-CN" w:eastAsia="zh-CN"/>
        </w:rPr>
        <w:t>”</w:t>
      </w:r>
      <w:r>
        <w:rPr>
          <w:rFonts w:ascii="Arial Unicode MS" w:cs="Arial Unicode MS" w:hAnsi="Arial Unicode MS" w:eastAsia="Arial Unicode MS" w:hint="eastAsia"/>
          <w:b w:val="0"/>
          <w:bCs w:val="0"/>
          <w:i w:val="0"/>
          <w:iCs w:val="0"/>
          <w:rtl w:val="0"/>
          <w:lang w:val="zh-CN" w:eastAsia="zh-CN"/>
        </w:rPr>
        <w:t>的方式受欢迎的案例。</w:t>
      </w:r>
    </w:p>
    <w:p>
      <w:pPr>
        <w:pStyle w:val="正文"/>
        <w:numPr>
          <w:ilvl w:val="0"/>
          <w:numId w:val="8"/>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习惯的阻碍：新消费时代提倡</w:t>
      </w:r>
      <w:r>
        <w:rPr>
          <w:rFonts w:ascii="Helvetica Neue" w:hAnsi="Helvetica Neue" w:hint="default"/>
          <w:rtl w:val="0"/>
          <w:lang w:val="zh-CN" w:eastAsia="zh-CN"/>
        </w:rPr>
        <w:t>“</w:t>
      </w:r>
      <w:r>
        <w:rPr>
          <w:rFonts w:ascii="Arial Unicode MS" w:cs="Arial Unicode MS" w:hAnsi="Arial Unicode MS" w:eastAsia="Arial Unicode MS" w:hint="eastAsia"/>
          <w:b w:val="0"/>
          <w:bCs w:val="0"/>
          <w:i w:val="0"/>
          <w:iCs w:val="0"/>
          <w:rtl w:val="0"/>
          <w:lang w:val="zh-CN" w:eastAsia="zh-CN"/>
        </w:rPr>
        <w:t>智能化</w:t>
      </w:r>
      <w:r>
        <w:rPr>
          <w:rFonts w:ascii="Helvetica Neue" w:hAnsi="Helvetica Neue" w:hint="default"/>
          <w:rtl w:val="0"/>
          <w:lang w:val="zh-CN" w:eastAsia="zh-CN"/>
        </w:rPr>
        <w:t>”</w:t>
      </w:r>
      <w:r>
        <w:rPr>
          <w:rFonts w:ascii="Arial Unicode MS" w:cs="Arial Unicode MS" w:hAnsi="Arial Unicode MS" w:eastAsia="Arial Unicode MS" w:hint="eastAsia"/>
          <w:b w:val="0"/>
          <w:bCs w:val="0"/>
          <w:i w:val="0"/>
          <w:iCs w:val="0"/>
          <w:rtl w:val="0"/>
          <w:lang w:val="zh-CN" w:eastAsia="zh-CN"/>
        </w:rPr>
        <w:t>，突破以往对销售的认知和习惯。</w:t>
      </w:r>
    </w:p>
    <w:p>
      <w:pPr>
        <w:pStyle w:val="正文"/>
        <w:numPr>
          <w:ilvl w:val="0"/>
          <w:numId w:val="8"/>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认知方式的局限：新消费时代推崇</w:t>
      </w:r>
      <w:r>
        <w:rPr>
          <w:rFonts w:ascii="Helvetica Neue" w:hAnsi="Helvetica Neue" w:hint="default"/>
          <w:rtl w:val="0"/>
          <w:lang w:val="zh-CN" w:eastAsia="zh-CN"/>
        </w:rPr>
        <w:t>“</w:t>
      </w:r>
      <w:r>
        <w:rPr>
          <w:rFonts w:ascii="Arial Unicode MS" w:cs="Arial Unicode MS" w:hAnsi="Arial Unicode MS" w:eastAsia="Arial Unicode MS" w:hint="eastAsia"/>
          <w:b w:val="0"/>
          <w:bCs w:val="0"/>
          <w:i w:val="0"/>
          <w:iCs w:val="0"/>
          <w:rtl w:val="0"/>
          <w:lang w:val="zh-CN" w:eastAsia="zh-CN"/>
        </w:rPr>
        <w:t>理性消费</w:t>
      </w:r>
      <w:r>
        <w:rPr>
          <w:rFonts w:ascii="Helvetica Neue" w:hAnsi="Helvetica Neue" w:hint="default"/>
          <w:rtl w:val="0"/>
          <w:lang w:val="zh-CN" w:eastAsia="zh-CN"/>
        </w:rPr>
        <w:t>”</w:t>
      </w:r>
      <w:r>
        <w:rPr>
          <w:rFonts w:ascii="Arial Unicode MS" w:cs="Arial Unicode MS" w:hAnsi="Arial Unicode MS" w:eastAsia="Arial Unicode MS" w:hint="eastAsia"/>
          <w:b w:val="0"/>
          <w:bCs w:val="0"/>
          <w:i w:val="0"/>
          <w:iCs w:val="0"/>
          <w:rtl w:val="0"/>
          <w:lang w:val="zh-CN" w:eastAsia="zh-CN"/>
        </w:rPr>
        <w:t>，从炫耀性消费到发展性消费。</w:t>
      </w:r>
    </w:p>
    <w:p>
      <w:pPr>
        <w:pStyle w:val="正文"/>
        <w:numPr>
          <w:ilvl w:val="0"/>
          <w:numId w:val="8"/>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深度思考能力的缺失：面对新工具、新方法，应用与工作中数据分析的挑战。</w:t>
      </w:r>
    </w:p>
    <w:p>
      <w:pPr>
        <w:pStyle w:val="正文"/>
        <w:spacing w:line="312" w:lineRule="auto"/>
        <w:jc w:val="left"/>
      </w:pPr>
    </w:p>
    <w:p>
      <w:pPr>
        <w:pStyle w:val="正文"/>
        <w:spacing w:line="312" w:lineRule="auto"/>
        <w:jc w:val="left"/>
      </w:pPr>
    </w:p>
    <w:p>
      <w:pPr>
        <w:pStyle w:val="正文"/>
        <w:spacing w:line="312" w:lineRule="auto"/>
        <w:jc w:val="left"/>
        <w:rPr>
          <w:b w:val="1"/>
          <w:bCs w:val="1"/>
        </w:rPr>
      </w:pPr>
      <w:r>
        <w:rPr>
          <w:rFonts w:ascii="Arial Unicode MS" w:cs="Arial Unicode MS" w:hAnsi="Arial Unicode MS" w:eastAsia="Arial Unicode MS" w:hint="eastAsia"/>
          <w:b w:val="0"/>
          <w:bCs w:val="0"/>
          <w:i w:val="0"/>
          <w:iCs w:val="0"/>
          <w:rtl w:val="0"/>
          <w:lang w:val="zh-CN" w:eastAsia="zh-CN"/>
        </w:rPr>
        <w:t>第二阶段：</w:t>
      </w:r>
      <w:r>
        <w:rPr>
          <w:rFonts w:ascii="Helvetica Neue" w:hAnsi="Helvetica Neue"/>
          <w:b w:val="1"/>
          <w:bCs w:val="1"/>
          <w:rtl w:val="0"/>
          <w:lang w:val="zh-CN" w:eastAsia="zh-CN"/>
        </w:rPr>
        <w:t>4</w:t>
      </w:r>
      <w:r>
        <w:rPr>
          <w:rFonts w:ascii="Arial Unicode MS" w:cs="Arial Unicode MS" w:hAnsi="Arial Unicode MS" w:eastAsia="Arial Unicode MS" w:hint="eastAsia"/>
          <w:b w:val="0"/>
          <w:bCs w:val="0"/>
          <w:i w:val="0"/>
          <w:iCs w:val="0"/>
          <w:rtl w:val="0"/>
          <w:lang w:val="zh-CN" w:eastAsia="zh-CN"/>
        </w:rPr>
        <w:t>～</w:t>
      </w:r>
      <w:r>
        <w:rPr>
          <w:rFonts w:ascii="Helvetica Neue" w:hAnsi="Helvetica Neue"/>
          <w:b w:val="1"/>
          <w:bCs w:val="1"/>
          <w:rtl w:val="0"/>
          <w:lang w:val="zh-CN" w:eastAsia="zh-CN"/>
        </w:rPr>
        <w:t>6</w:t>
      </w:r>
      <w:r>
        <w:rPr>
          <w:rFonts w:ascii="Arial Unicode MS" w:cs="Arial Unicode MS" w:hAnsi="Arial Unicode MS" w:eastAsia="Arial Unicode MS" w:hint="eastAsia"/>
          <w:b w:val="0"/>
          <w:bCs w:val="0"/>
          <w:i w:val="0"/>
          <w:iCs w:val="0"/>
          <w:rtl w:val="0"/>
          <w:lang w:val="zh-CN" w:eastAsia="zh-CN"/>
        </w:rPr>
        <w:t>轮</w:t>
      </w:r>
    </w:p>
    <w:p>
      <w:pPr>
        <w:pStyle w:val="正文"/>
        <w:numPr>
          <w:ilvl w:val="0"/>
          <w:numId w:val="5"/>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熟练掌握规则，顺畅推演</w:t>
      </w:r>
    </w:p>
    <w:p>
      <w:pPr>
        <w:pStyle w:val="正文"/>
        <w:numPr>
          <w:ilvl w:val="0"/>
          <w:numId w:val="5"/>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理清时间管理各元素的顺序和关系</w:t>
      </w:r>
    </w:p>
    <w:p>
      <w:pPr>
        <w:pStyle w:val="正文"/>
        <w:numPr>
          <w:ilvl w:val="0"/>
          <w:numId w:val="5"/>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管理者搭建高效平台</w:t>
      </w:r>
    </w:p>
    <w:p>
      <w:pPr>
        <w:pStyle w:val="正文"/>
        <w:spacing w:line="312" w:lineRule="auto"/>
        <w:jc w:val="left"/>
        <w:rPr>
          <w:b w:val="1"/>
          <w:bCs w:val="1"/>
        </w:rPr>
      </w:pPr>
      <w:r>
        <w:rPr>
          <w:rFonts w:ascii="Arial Unicode MS" w:cs="Arial Unicode MS" w:hAnsi="Arial Unicode MS" w:eastAsia="Arial Unicode MS" w:hint="eastAsia"/>
          <w:b w:val="0"/>
          <w:bCs w:val="0"/>
          <w:i w:val="0"/>
          <w:iCs w:val="0"/>
          <w:rtl w:val="0"/>
          <w:lang w:val="zh-CN" w:eastAsia="zh-CN"/>
        </w:rPr>
        <w:t>二阶段分享主题：搭建高效合作的团队，协同迎接新消费时代到来。</w:t>
      </w:r>
    </w:p>
    <w:p>
      <w:pPr>
        <w:pStyle w:val="正文"/>
        <w:numPr>
          <w:ilvl w:val="0"/>
          <w:numId w:val="9"/>
        </w:numPr>
        <w:spacing w:line="312" w:lineRule="auto"/>
        <w:jc w:val="left"/>
        <w:rPr>
          <w:b w:val="1"/>
          <w:bCs w:val="1"/>
          <w:lang w:val="zh-CN" w:eastAsia="zh-CN"/>
        </w:rPr>
      </w:pPr>
      <w:r>
        <w:rPr>
          <w:rFonts w:ascii="Arial Unicode MS" w:cs="Arial Unicode MS" w:hAnsi="Arial Unicode MS" w:eastAsia="Arial Unicode MS" w:hint="eastAsia"/>
          <w:b w:val="0"/>
          <w:bCs w:val="0"/>
          <w:i w:val="0"/>
          <w:iCs w:val="0"/>
          <w:rtl w:val="0"/>
          <w:lang w:val="zh-CN" w:eastAsia="zh-CN"/>
        </w:rPr>
        <w:t>搭建高效团队五大障碍与解决方法：</w:t>
      </w:r>
    </w:p>
    <w:p>
      <w:pPr>
        <w:pStyle w:val="正文"/>
        <w:numPr>
          <w:ilvl w:val="0"/>
          <w:numId w:val="5"/>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五大障碍：缺乏信任、惧怕冲突、缺乏承诺、逃避责任、无视结果</w:t>
      </w:r>
    </w:p>
    <w:p>
      <w:pPr>
        <w:pStyle w:val="正文"/>
        <w:numPr>
          <w:ilvl w:val="0"/>
          <w:numId w:val="5"/>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具备的五种心态：共赢心态、同理心态、投资心态、担责心态、大局心态。</w:t>
      </w:r>
    </w:p>
    <w:p>
      <w:pPr>
        <w:pStyle w:val="正文"/>
        <w:numPr>
          <w:ilvl w:val="0"/>
          <w:numId w:val="5"/>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部门协作必备技能：建立承诺账户</w:t>
      </w:r>
    </w:p>
    <w:p>
      <w:pPr>
        <w:pStyle w:val="正文"/>
        <w:numPr>
          <w:ilvl w:val="0"/>
          <w:numId w:val="4"/>
        </w:numPr>
        <w:spacing w:line="312" w:lineRule="auto"/>
        <w:jc w:val="left"/>
        <w:rPr>
          <w:b w:val="1"/>
          <w:bCs w:val="1"/>
          <w:lang w:val="zh-CN" w:eastAsia="zh-CN"/>
        </w:rPr>
      </w:pPr>
      <w:r>
        <w:rPr>
          <w:rFonts w:ascii="Arial Unicode MS" w:cs="Arial Unicode MS" w:hAnsi="Arial Unicode MS" w:eastAsia="Arial Unicode MS" w:hint="eastAsia"/>
          <w:b w:val="0"/>
          <w:bCs w:val="0"/>
          <w:i w:val="0"/>
          <w:iCs w:val="0"/>
          <w:rtl w:val="0"/>
          <w:lang w:val="zh-CN" w:eastAsia="zh-CN"/>
        </w:rPr>
        <w:t>避免团队合作的障碍：</w:t>
      </w:r>
    </w:p>
    <w:p>
      <w:pPr>
        <w:pStyle w:val="正文"/>
        <w:numPr>
          <w:ilvl w:val="0"/>
          <w:numId w:val="5"/>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本位主义：站在自己部门的利益考虑</w:t>
      </w:r>
    </w:p>
    <w:p>
      <w:pPr>
        <w:pStyle w:val="正文"/>
        <w:numPr>
          <w:ilvl w:val="0"/>
          <w:numId w:val="5"/>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自我观念：认为自己的思想是正确的</w:t>
      </w:r>
    </w:p>
    <w:p>
      <w:pPr>
        <w:pStyle w:val="正文"/>
        <w:numPr>
          <w:ilvl w:val="0"/>
          <w:numId w:val="5"/>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关注输赢：希望自己或者部门赢</w:t>
      </w:r>
    </w:p>
    <w:p>
      <w:pPr>
        <w:pStyle w:val="正文"/>
        <w:numPr>
          <w:ilvl w:val="0"/>
          <w:numId w:val="5"/>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喜欢竞争：你死我活的跨部门竞争</w:t>
      </w:r>
    </w:p>
    <w:p>
      <w:pPr>
        <w:pStyle w:val="正文"/>
        <w:numPr>
          <w:ilvl w:val="0"/>
          <w:numId w:val="5"/>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争功诿过：喜欢功劳推诿过错责任</w:t>
      </w:r>
    </w:p>
    <w:p>
      <w:pPr>
        <w:pStyle w:val="正文"/>
        <w:numPr>
          <w:ilvl w:val="0"/>
          <w:numId w:val="4"/>
        </w:numPr>
        <w:spacing w:line="312" w:lineRule="auto"/>
        <w:jc w:val="left"/>
        <w:rPr>
          <w:b w:val="1"/>
          <w:bCs w:val="1"/>
          <w:lang w:val="zh-CN" w:eastAsia="zh-CN"/>
        </w:rPr>
      </w:pPr>
      <w:r>
        <w:rPr>
          <w:rFonts w:ascii="Arial Unicode MS" w:cs="Arial Unicode MS" w:hAnsi="Arial Unicode MS" w:eastAsia="Arial Unicode MS" w:hint="eastAsia"/>
          <w:b w:val="0"/>
          <w:bCs w:val="0"/>
          <w:i w:val="0"/>
          <w:iCs w:val="0"/>
          <w:rtl w:val="0"/>
          <w:lang w:val="zh-CN" w:eastAsia="zh-CN"/>
        </w:rPr>
        <w:t>高效的反馈机制：</w:t>
      </w:r>
    </w:p>
    <w:p>
      <w:pPr>
        <w:pStyle w:val="正文"/>
        <w:numPr>
          <w:ilvl w:val="0"/>
          <w:numId w:val="5"/>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倾听：有效沟通的关键</w:t>
      </w:r>
    </w:p>
    <w:p>
      <w:pPr>
        <w:pStyle w:val="正文"/>
        <w:numPr>
          <w:ilvl w:val="0"/>
          <w:numId w:val="5"/>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提问：了解</w:t>
      </w:r>
      <w:r>
        <w:rPr>
          <w:rFonts w:ascii="Arial Unicode MS" w:cs="Arial Unicode MS" w:hAnsi="Arial Unicode MS" w:eastAsia="Arial Unicode MS" w:hint="eastAsia"/>
          <w:b w:val="0"/>
          <w:bCs w:val="0"/>
          <w:i w:val="0"/>
          <w:iCs w:val="0"/>
          <w:rtl w:val="0"/>
          <w:lang w:val="zh-CN" w:eastAsia="zh-CN"/>
        </w:rPr>
        <w:t>常用的提问</w:t>
      </w:r>
      <w:r>
        <w:rPr>
          <w:rFonts w:ascii="Arial Unicode MS" w:cs="Arial Unicode MS" w:hAnsi="Arial Unicode MS" w:eastAsia="Arial Unicode MS" w:hint="eastAsia"/>
          <w:b w:val="0"/>
          <w:bCs w:val="0"/>
          <w:i w:val="0"/>
          <w:iCs w:val="0"/>
          <w:rtl w:val="0"/>
          <w:lang w:val="zh-CN" w:eastAsia="zh-CN"/>
        </w:rPr>
        <w:t>工具</w:t>
      </w:r>
    </w:p>
    <w:p>
      <w:pPr>
        <w:pStyle w:val="正文"/>
        <w:numPr>
          <w:ilvl w:val="0"/>
          <w:numId w:val="5"/>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反馈：清晰、有条理、高效的表达</w:t>
      </w:r>
    </w:p>
    <w:p>
      <w:pPr>
        <w:pStyle w:val="正文"/>
        <w:spacing w:line="312" w:lineRule="auto"/>
        <w:jc w:val="left"/>
      </w:pPr>
    </w:p>
    <w:p>
      <w:pPr>
        <w:pStyle w:val="正文"/>
        <w:spacing w:line="312" w:lineRule="auto"/>
        <w:jc w:val="left"/>
        <w:rPr>
          <w:b w:val="1"/>
          <w:bCs w:val="1"/>
        </w:rPr>
      </w:pPr>
      <w:r>
        <w:rPr>
          <w:rFonts w:ascii="Arial Unicode MS" w:cs="Arial Unicode MS" w:hAnsi="Arial Unicode MS" w:eastAsia="Arial Unicode MS" w:hint="eastAsia"/>
          <w:b w:val="0"/>
          <w:bCs w:val="0"/>
          <w:i w:val="0"/>
          <w:iCs w:val="0"/>
          <w:rtl w:val="0"/>
          <w:lang w:val="zh-CN" w:eastAsia="zh-CN"/>
        </w:rPr>
        <w:t>第三阶段：</w:t>
      </w:r>
      <w:r>
        <w:rPr>
          <w:rFonts w:ascii="Helvetica Neue" w:hAnsi="Helvetica Neue"/>
          <w:b w:val="1"/>
          <w:bCs w:val="1"/>
          <w:rtl w:val="0"/>
          <w:lang w:val="zh-CN" w:eastAsia="zh-CN"/>
        </w:rPr>
        <w:t>7</w:t>
      </w:r>
      <w:r>
        <w:rPr>
          <w:rFonts w:ascii="Arial Unicode MS" w:cs="Arial Unicode MS" w:hAnsi="Arial Unicode MS" w:eastAsia="Arial Unicode MS" w:hint="eastAsia"/>
          <w:b w:val="0"/>
          <w:bCs w:val="0"/>
          <w:i w:val="0"/>
          <w:iCs w:val="0"/>
          <w:rtl w:val="0"/>
          <w:lang w:val="zh-CN" w:eastAsia="zh-CN"/>
        </w:rPr>
        <w:t>～</w:t>
      </w:r>
      <w:r>
        <w:rPr>
          <w:rFonts w:ascii="Helvetica Neue" w:hAnsi="Helvetica Neue"/>
          <w:b w:val="1"/>
          <w:bCs w:val="1"/>
          <w:rtl w:val="0"/>
          <w:lang w:val="zh-CN" w:eastAsia="zh-CN"/>
        </w:rPr>
        <w:t>9</w:t>
      </w:r>
      <w:r>
        <w:rPr>
          <w:rFonts w:ascii="Arial Unicode MS" w:cs="Arial Unicode MS" w:hAnsi="Arial Unicode MS" w:eastAsia="Arial Unicode MS" w:hint="eastAsia"/>
          <w:b w:val="0"/>
          <w:bCs w:val="0"/>
          <w:i w:val="0"/>
          <w:iCs w:val="0"/>
          <w:rtl w:val="0"/>
          <w:lang w:val="zh-CN" w:eastAsia="zh-CN"/>
        </w:rPr>
        <w:t>轮</w:t>
      </w:r>
    </w:p>
    <w:p>
      <w:pPr>
        <w:pStyle w:val="正文"/>
        <w:numPr>
          <w:ilvl w:val="0"/>
          <w:numId w:val="5"/>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验证前期推演的效果</w:t>
      </w:r>
    </w:p>
    <w:p>
      <w:pPr>
        <w:pStyle w:val="正文"/>
        <w:numPr>
          <w:ilvl w:val="0"/>
          <w:numId w:val="5"/>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提升结果和价值</w:t>
      </w:r>
    </w:p>
    <w:p>
      <w:pPr>
        <w:pStyle w:val="正文"/>
        <w:numPr>
          <w:ilvl w:val="0"/>
          <w:numId w:val="5"/>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协同达成最终目标</w:t>
      </w:r>
    </w:p>
    <w:p>
      <w:pPr>
        <w:pStyle w:val="正文"/>
        <w:spacing w:line="312" w:lineRule="auto"/>
        <w:jc w:val="left"/>
        <w:rPr>
          <w:b w:val="1"/>
          <w:bCs w:val="1"/>
        </w:rPr>
      </w:pPr>
      <w:r>
        <w:rPr>
          <w:rFonts w:ascii="Arial Unicode MS" w:cs="Arial Unicode MS" w:hAnsi="Arial Unicode MS" w:eastAsia="Arial Unicode MS" w:hint="eastAsia"/>
          <w:b w:val="0"/>
          <w:bCs w:val="0"/>
          <w:i w:val="0"/>
          <w:iCs w:val="0"/>
          <w:rtl w:val="0"/>
          <w:lang w:val="zh-CN" w:eastAsia="zh-CN"/>
        </w:rPr>
        <w:t>三阶段分享主题：打造竞争力的战略执行能力，应对新消费时代的挑战。</w:t>
      </w:r>
    </w:p>
    <w:p>
      <w:pPr>
        <w:pStyle w:val="正文"/>
        <w:numPr>
          <w:ilvl w:val="0"/>
          <w:numId w:val="10"/>
        </w:numPr>
        <w:spacing w:line="312" w:lineRule="auto"/>
        <w:jc w:val="left"/>
        <w:rPr>
          <w:b w:val="1"/>
          <w:bCs w:val="1"/>
          <w:lang w:val="zh-CN" w:eastAsia="zh-CN"/>
        </w:rPr>
      </w:pPr>
      <w:r>
        <w:rPr>
          <w:rFonts w:ascii="Arial Unicode MS" w:cs="Arial Unicode MS" w:hAnsi="Arial Unicode MS" w:eastAsia="Arial Unicode MS" w:hint="eastAsia"/>
          <w:b w:val="0"/>
          <w:bCs w:val="0"/>
          <w:i w:val="0"/>
          <w:iCs w:val="0"/>
          <w:rtl w:val="0"/>
          <w:lang w:val="zh-CN" w:eastAsia="zh-CN"/>
        </w:rPr>
        <w:t>目标驱动</w:t>
      </w:r>
    </w:p>
    <w:p>
      <w:pPr>
        <w:pStyle w:val="正文"/>
        <w:numPr>
          <w:ilvl w:val="0"/>
          <w:numId w:val="5"/>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用宏大的愿景力激发自身的意愿度</w:t>
      </w:r>
    </w:p>
    <w:p>
      <w:pPr>
        <w:pStyle w:val="正文"/>
        <w:numPr>
          <w:ilvl w:val="0"/>
          <w:numId w:val="5"/>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打造一贯性的职场人设</w:t>
      </w:r>
    </w:p>
    <w:p>
      <w:pPr>
        <w:pStyle w:val="正文"/>
        <w:numPr>
          <w:ilvl w:val="0"/>
          <w:numId w:val="5"/>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一视同仁的职场原则</w:t>
      </w:r>
    </w:p>
    <w:p>
      <w:pPr>
        <w:pStyle w:val="正文"/>
        <w:numPr>
          <w:ilvl w:val="0"/>
          <w:numId w:val="4"/>
        </w:numPr>
        <w:spacing w:line="312" w:lineRule="auto"/>
        <w:jc w:val="left"/>
        <w:rPr>
          <w:b w:val="1"/>
          <w:bCs w:val="1"/>
          <w:lang w:val="zh-CN" w:eastAsia="zh-CN"/>
        </w:rPr>
      </w:pPr>
      <w:r>
        <w:rPr>
          <w:rFonts w:ascii="Arial Unicode MS" w:cs="Arial Unicode MS" w:hAnsi="Arial Unicode MS" w:eastAsia="Arial Unicode MS" w:hint="eastAsia"/>
          <w:b w:val="0"/>
          <w:bCs w:val="0"/>
          <w:i w:val="0"/>
          <w:iCs w:val="0"/>
          <w:rtl w:val="0"/>
          <w:lang w:val="zh-CN" w:eastAsia="zh-CN"/>
        </w:rPr>
        <w:t>用户思维</w:t>
      </w:r>
    </w:p>
    <w:p>
      <w:pPr>
        <w:pStyle w:val="正文"/>
        <w:numPr>
          <w:ilvl w:val="0"/>
          <w:numId w:val="5"/>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通过数据分析得出用户的消费特点</w:t>
      </w:r>
    </w:p>
    <w:p>
      <w:pPr>
        <w:pStyle w:val="正文"/>
        <w:numPr>
          <w:ilvl w:val="0"/>
          <w:numId w:val="5"/>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以用户视角看待正在完成的工作</w:t>
      </w:r>
    </w:p>
    <w:p>
      <w:pPr>
        <w:pStyle w:val="正文"/>
        <w:numPr>
          <w:ilvl w:val="0"/>
          <w:numId w:val="5"/>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用户思维在新消费时代的价值和意义</w:t>
      </w:r>
    </w:p>
    <w:p>
      <w:pPr>
        <w:pStyle w:val="正文"/>
        <w:numPr>
          <w:ilvl w:val="0"/>
          <w:numId w:val="4"/>
        </w:numPr>
        <w:spacing w:line="312" w:lineRule="auto"/>
        <w:jc w:val="left"/>
        <w:rPr>
          <w:b w:val="1"/>
          <w:bCs w:val="1"/>
          <w:lang w:val="zh-CN" w:eastAsia="zh-CN"/>
        </w:rPr>
      </w:pPr>
      <w:r>
        <w:rPr>
          <w:rFonts w:ascii="Arial Unicode MS" w:cs="Arial Unicode MS" w:hAnsi="Arial Unicode MS" w:eastAsia="Arial Unicode MS" w:hint="eastAsia"/>
          <w:b w:val="0"/>
          <w:bCs w:val="0"/>
          <w:i w:val="0"/>
          <w:iCs w:val="0"/>
          <w:rtl w:val="0"/>
          <w:lang w:val="zh-CN" w:eastAsia="zh-CN"/>
        </w:rPr>
        <w:t>打造健康组织</w:t>
      </w:r>
    </w:p>
    <w:p>
      <w:pPr>
        <w:pStyle w:val="正文"/>
        <w:numPr>
          <w:ilvl w:val="0"/>
          <w:numId w:val="5"/>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最少的办公室政治</w:t>
      </w:r>
    </w:p>
    <w:p>
      <w:pPr>
        <w:pStyle w:val="正文"/>
        <w:numPr>
          <w:ilvl w:val="0"/>
          <w:numId w:val="5"/>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高昂的士气</w:t>
      </w:r>
    </w:p>
    <w:p>
      <w:pPr>
        <w:pStyle w:val="正文"/>
        <w:numPr>
          <w:ilvl w:val="0"/>
          <w:numId w:val="5"/>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最少的信息混乱</w:t>
      </w:r>
    </w:p>
    <w:p>
      <w:pPr>
        <w:pStyle w:val="正文"/>
        <w:numPr>
          <w:ilvl w:val="0"/>
          <w:numId w:val="5"/>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持续提升的客户满意度和员工满意度</w:t>
      </w:r>
    </w:p>
    <w:p>
      <w:pPr>
        <w:pStyle w:val="正文"/>
        <w:spacing w:line="312" w:lineRule="auto"/>
        <w:jc w:val="left"/>
        <w:rPr>
          <w:b w:val="1"/>
          <w:bCs w:val="1"/>
        </w:rPr>
      </w:pPr>
    </w:p>
    <w:p>
      <w:pPr>
        <w:pStyle w:val="正文"/>
        <w:spacing w:line="312" w:lineRule="auto"/>
        <w:jc w:val="left"/>
      </w:pPr>
    </w:p>
    <w:p>
      <w:pPr>
        <w:pStyle w:val="正文"/>
        <w:spacing w:line="312" w:lineRule="auto"/>
        <w:jc w:val="left"/>
      </w:pPr>
    </w:p>
    <w:p>
      <w:pPr>
        <w:pStyle w:val="正文"/>
        <w:spacing w:line="312" w:lineRule="auto"/>
        <w:jc w:val="left"/>
      </w:pPr>
    </w:p>
    <w:p>
      <w:pPr>
        <w:pStyle w:val="正文"/>
        <w:spacing w:line="312" w:lineRule="auto"/>
        <w:jc w:val="left"/>
      </w:pPr>
    </w:p>
    <w:p>
      <w:pPr>
        <w:pStyle w:val="正文"/>
        <w:spacing w:line="312" w:lineRule="auto"/>
        <w:jc w:val="left"/>
      </w:pPr>
    </w:p>
    <w:p>
      <w:pPr>
        <w:pStyle w:val="正文"/>
        <w:spacing w:line="312" w:lineRule="auto"/>
        <w:jc w:val="left"/>
      </w:pPr>
    </w:p>
    <w:p>
      <w:pPr>
        <w:pStyle w:val="正文"/>
        <w:spacing w:line="312" w:lineRule="auto"/>
        <w:jc w:val="left"/>
      </w:pPr>
    </w:p>
    <w:p>
      <w:pPr>
        <w:pStyle w:val="正文"/>
        <w:spacing w:line="312" w:lineRule="auto"/>
        <w:jc w:val="left"/>
      </w:pPr>
    </w:p>
    <w:p>
      <w:pPr>
        <w:pStyle w:val="正文"/>
        <w:spacing w:line="312" w:lineRule="auto"/>
        <w:jc w:val="left"/>
      </w:pPr>
    </w:p>
    <w:p>
      <w:pPr>
        <w:pStyle w:val="正文"/>
        <w:spacing w:line="312" w:lineRule="auto"/>
        <w:jc w:val="left"/>
      </w:pPr>
    </w:p>
    <w:p>
      <w:pPr>
        <w:pStyle w:val="正文"/>
        <w:spacing w:line="312" w:lineRule="auto"/>
        <w:jc w:val="left"/>
      </w:pPr>
    </w:p>
    <w:p>
      <w:pPr>
        <w:pStyle w:val="正文"/>
        <w:spacing w:line="312" w:lineRule="auto"/>
        <w:jc w:val="left"/>
      </w:pPr>
    </w:p>
    <w:p>
      <w:pPr>
        <w:pStyle w:val="正文"/>
        <w:spacing w:line="312" w:lineRule="auto"/>
        <w:jc w:val="left"/>
      </w:pPr>
    </w:p>
    <w:p>
      <w:pPr>
        <w:pStyle w:val="正文"/>
        <w:spacing w:line="312" w:lineRule="auto"/>
        <w:jc w:val="left"/>
      </w:pPr>
    </w:p>
    <w:p>
      <w:pPr>
        <w:pStyle w:val="正文"/>
        <w:spacing w:line="312" w:lineRule="auto"/>
        <w:jc w:val="left"/>
      </w:pPr>
    </w:p>
    <w:p>
      <w:pPr>
        <w:pStyle w:val="正文"/>
        <w:spacing w:line="312" w:lineRule="auto"/>
        <w:jc w:val="left"/>
      </w:pPr>
    </w:p>
    <w:p>
      <w:pPr>
        <w:pStyle w:val="正文"/>
        <w:spacing w:line="312" w:lineRule="auto"/>
        <w:jc w:val="left"/>
      </w:pPr>
    </w:p>
    <w:p>
      <w:pPr>
        <w:pStyle w:val="正文"/>
        <w:spacing w:line="312" w:lineRule="auto"/>
        <w:jc w:val="left"/>
      </w:pPr>
    </w:p>
    <w:p>
      <w:pPr>
        <w:pStyle w:val="正文"/>
        <w:spacing w:line="312" w:lineRule="auto"/>
        <w:jc w:val="left"/>
      </w:pPr>
    </w:p>
    <w:p>
      <w:pPr>
        <w:pStyle w:val="正文"/>
        <w:spacing w:line="312" w:lineRule="auto"/>
        <w:jc w:val="left"/>
        <w:rPr>
          <w:sz w:val="32"/>
          <w:szCs w:val="32"/>
        </w:rPr>
      </w:pPr>
      <w:r>
        <w:rPr>
          <w:rFonts w:ascii="Arial Unicode MS" w:cs="Arial Unicode MS" w:hAnsi="Arial Unicode MS" w:eastAsia="Arial Unicode MS" w:hint="eastAsia"/>
          <w:b w:val="0"/>
          <w:bCs w:val="0"/>
          <w:i w:val="0"/>
          <w:iCs w:val="0"/>
          <w:sz w:val="32"/>
          <w:szCs w:val="32"/>
          <w:rtl w:val="0"/>
          <w:lang w:val="zh-CN" w:eastAsia="zh-CN"/>
        </w:rPr>
        <w:t>沙盘现场</w:t>
      </w:r>
      <w:r>
        <w:rPr>
          <w:sz w:val="32"/>
          <w:szCs w:val="32"/>
        </w:rPr>
        <mc:AlternateContent>
          <mc:Choice Requires="wps">
            <w:drawing xmlns:a="http://schemas.openxmlformats.org/drawingml/2006/main">
              <wp:anchor distT="0" distB="0" distL="0" distR="0" simplePos="0" relativeHeight="251664384" behindDoc="0" locked="0" layoutInCell="1" allowOverlap="1">
                <wp:simplePos x="0" y="0"/>
                <wp:positionH relativeFrom="margin">
                  <wp:posOffset>12700</wp:posOffset>
                </wp:positionH>
                <wp:positionV relativeFrom="line">
                  <wp:posOffset>310619</wp:posOffset>
                </wp:positionV>
                <wp:extent cx="6120057" cy="0"/>
                <wp:effectExtent l="0" t="0" r="0" b="0"/>
                <wp:wrapTopAndBottom distT="0" distB="0"/>
                <wp:docPr id="1073741834" name="officeArt object" descr="线条"/>
                <wp:cNvGraphicFramePr/>
                <a:graphic xmlns:a="http://schemas.openxmlformats.org/drawingml/2006/main">
                  <a:graphicData uri="http://schemas.microsoft.com/office/word/2010/wordprocessingShape">
                    <wps:wsp>
                      <wps:cNvSpPr/>
                      <wps:spPr>
                        <a:xfrm>
                          <a:off x="0" y="0"/>
                          <a:ext cx="6120057" cy="0"/>
                        </a:xfrm>
                        <a:prstGeom prst="line">
                          <a:avLst/>
                        </a:prstGeom>
                        <a:noFill/>
                        <a:ln w="25400" cap="flat">
                          <a:solidFill>
                            <a:srgbClr val="000000"/>
                          </a:solidFill>
                          <a:prstDash val="solid"/>
                          <a:miter lim="400000"/>
                        </a:ln>
                        <a:effectLst/>
                      </wps:spPr>
                      <wps:bodyPr/>
                    </wps:wsp>
                  </a:graphicData>
                </a:graphic>
              </wp:anchor>
            </w:drawing>
          </mc:Choice>
          <mc:Fallback>
            <w:pict>
              <v:line id="_x0000_s1033" style="visibility:visible;position:absolute;margin-left:1.0pt;margin-top:24.5pt;width:481.9pt;height:0.0pt;z-index:251664384;mso-position-horizontal:absolute;mso-position-horizontal-relative:margin;mso-position-vertical:absolute;mso-position-vertical-relative:line;mso-wrap-distance-left:0.0pt;mso-wrap-distance-top:0.0pt;mso-wrap-distance-right:0.0pt;mso-wrap-distance-bottom:0.0pt;">
                <v:fill on="f"/>
                <v:stroke filltype="solid" color="#000000" opacity="100.0%" weight="2.0pt" dashstyle="solid" endcap="flat" miterlimit="400.0%" joinstyle="miter" linestyle="single" startarrow="none" startarrowwidth="medium" startarrowlength="medium" endarrow="none" endarrowwidth="medium" endarrowlength="medium"/>
                <w10:wrap type="topAndBottom" side="bothSides" anchorx="margin"/>
              </v:line>
            </w:pict>
          </mc:Fallback>
        </mc:AlternateContent>
      </w:r>
      <w:r>
        <w:rPr>
          <w:sz w:val="32"/>
          <w:szCs w:val="32"/>
        </w:rPr>
        <w:drawing xmlns:a="http://schemas.openxmlformats.org/drawingml/2006/main">
          <wp:anchor distT="152400" distB="152400" distL="152400" distR="152400" simplePos="0" relativeHeight="251669504" behindDoc="0" locked="0" layoutInCell="1" allowOverlap="1">
            <wp:simplePos x="0" y="0"/>
            <wp:positionH relativeFrom="margin">
              <wp:posOffset>-6350</wp:posOffset>
            </wp:positionH>
            <wp:positionV relativeFrom="line">
              <wp:posOffset>327937</wp:posOffset>
            </wp:positionV>
            <wp:extent cx="6120057" cy="3628135"/>
            <wp:effectExtent l="0" t="0" r="0" b="0"/>
            <wp:wrapThrough wrapText="bothSides" distL="152400" distR="152400">
              <wp:wrapPolygon edited="1">
                <wp:start x="0" y="0"/>
                <wp:lineTo x="21600" y="0"/>
                <wp:lineTo x="21600" y="21634"/>
                <wp:lineTo x="0" y="21634"/>
                <wp:lineTo x="0" y="0"/>
              </wp:wrapPolygon>
            </wp:wrapThrough>
            <wp:docPr id="1073741835" name="officeArt object" descr="截屏2024-04-27 07.30.02.png"/>
            <wp:cNvGraphicFramePr/>
            <a:graphic xmlns:a="http://schemas.openxmlformats.org/drawingml/2006/main">
              <a:graphicData uri="http://schemas.openxmlformats.org/drawingml/2006/picture">
                <pic:pic xmlns:pic="http://schemas.openxmlformats.org/drawingml/2006/picture">
                  <pic:nvPicPr>
                    <pic:cNvPr id="1073741835" name="截屏2024-04-27 07.30.02.png" descr="截屏2024-04-27 07.30.02.png"/>
                    <pic:cNvPicPr>
                      <a:picLocks noChangeAspect="1"/>
                    </pic:cNvPicPr>
                  </pic:nvPicPr>
                  <pic:blipFill>
                    <a:blip r:embed="rId6">
                      <a:extLst/>
                    </a:blip>
                    <a:stretch>
                      <a:fillRect/>
                    </a:stretch>
                  </pic:blipFill>
                  <pic:spPr>
                    <a:xfrm>
                      <a:off x="0" y="0"/>
                      <a:ext cx="6120057" cy="3628135"/>
                    </a:xfrm>
                    <a:prstGeom prst="rect">
                      <a:avLst/>
                    </a:prstGeom>
                    <a:ln w="12700" cap="flat">
                      <a:noFill/>
                      <a:miter lim="400000"/>
                    </a:ln>
                    <a:effectLst/>
                  </pic:spPr>
                </pic:pic>
              </a:graphicData>
            </a:graphic>
          </wp:anchor>
        </w:drawing>
      </w:r>
    </w:p>
    <w:p>
      <w:pPr>
        <w:pStyle w:val="正文"/>
        <w:spacing w:line="312" w:lineRule="auto"/>
        <w:jc w:val="left"/>
        <w:rPr>
          <w:sz w:val="32"/>
          <w:szCs w:val="32"/>
        </w:rPr>
      </w:pPr>
    </w:p>
    <w:p>
      <w:pPr>
        <w:pStyle w:val="正文"/>
        <w:spacing w:line="312" w:lineRule="auto"/>
        <w:jc w:val="left"/>
        <w:rPr>
          <w:sz w:val="32"/>
          <w:szCs w:val="32"/>
        </w:rPr>
      </w:pPr>
    </w:p>
    <w:p>
      <w:pPr>
        <w:pStyle w:val="正文"/>
        <w:spacing w:line="312" w:lineRule="auto"/>
        <w:jc w:val="left"/>
        <w:rPr>
          <w:sz w:val="32"/>
          <w:szCs w:val="32"/>
        </w:rPr>
      </w:pPr>
    </w:p>
    <w:p>
      <w:pPr>
        <w:pStyle w:val="正文"/>
        <w:spacing w:line="312" w:lineRule="auto"/>
        <w:jc w:val="left"/>
        <w:rPr>
          <w:sz w:val="32"/>
          <w:szCs w:val="32"/>
        </w:rPr>
      </w:pPr>
    </w:p>
    <w:p>
      <w:pPr>
        <w:pStyle w:val="正文"/>
        <w:spacing w:line="312" w:lineRule="auto"/>
        <w:jc w:val="left"/>
        <w:rPr>
          <w:sz w:val="32"/>
          <w:szCs w:val="32"/>
        </w:rPr>
      </w:pPr>
    </w:p>
    <w:p>
      <w:pPr>
        <w:pStyle w:val="正文"/>
        <w:spacing w:line="312" w:lineRule="auto"/>
        <w:jc w:val="left"/>
        <w:rPr>
          <w:sz w:val="32"/>
          <w:szCs w:val="32"/>
        </w:rPr>
      </w:pPr>
    </w:p>
    <w:p>
      <w:pPr>
        <w:pStyle w:val="正文"/>
        <w:spacing w:line="312" w:lineRule="auto"/>
        <w:jc w:val="left"/>
        <w:rPr>
          <w:sz w:val="32"/>
          <w:szCs w:val="32"/>
        </w:rPr>
      </w:pPr>
    </w:p>
    <w:p>
      <w:pPr>
        <w:pStyle w:val="正文"/>
        <w:spacing w:line="312" w:lineRule="auto"/>
        <w:jc w:val="left"/>
        <w:rPr>
          <w:sz w:val="32"/>
          <w:szCs w:val="32"/>
        </w:rPr>
      </w:pPr>
    </w:p>
    <w:p>
      <w:pPr>
        <w:pStyle w:val="正文"/>
        <w:spacing w:line="312" w:lineRule="auto"/>
        <w:jc w:val="left"/>
      </w:pPr>
      <w:r>
        <w:rPr>
          <w:sz w:val="32"/>
          <w:szCs w:val="32"/>
        </w:rPr>
      </w:r>
    </w:p>
    <w:sectPr>
      <w:headerReference w:type="default" r:id="rId7"/>
      <w:footerReference w:type="default" r:id="rId8"/>
      <w:pgSz w:w="11906" w:h="16838" w:orient="portrait"/>
      <w:pgMar w:top="1134" w:right="1134" w:bottom="1134" w:left="1134" w:header="709" w:footer="85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项目符号"/>
  </w:abstractNum>
  <w:abstractNum w:abstractNumId="1">
    <w:multiLevelType w:val="hybridMultilevel"/>
    <w:styleLink w:val="项目符号"/>
    <w:lvl w:ilvl="0">
      <w:start w:val="1"/>
      <w:numFmt w:val="bullet"/>
      <w:suff w:val="tab"/>
      <w:lvlText w:val="•"/>
      <w:lvlJc w:val="left"/>
      <w:pPr>
        <w:tabs>
          <w:tab w:val="num" w:pos="634"/>
        </w:tabs>
        <w:ind w:left="180" w:firstLine="274"/>
      </w:pPr>
      <w:rPr>
        <w:rFonts w:hAnsi="Arial Unicode MS"/>
        <w:caps w:val="0"/>
        <w:smallCaps w:val="0"/>
        <w:strike w:val="0"/>
        <w:dstrike w:val="0"/>
        <w:outline w:val="0"/>
        <w:emboss w:val="0"/>
        <w:imprint w:val="0"/>
        <w:spacing w:val="0"/>
        <w:w w:val="100"/>
        <w:kern w:val="0"/>
        <w:position w:val="-2"/>
        <w:highlight w:val="none"/>
        <w:vertAlign w:val="baseline"/>
      </w:rPr>
    </w:lvl>
    <w:lvl w:ilvl="1">
      <w:start w:val="1"/>
      <w:numFmt w:val="bullet"/>
      <w:suff w:val="tab"/>
      <w:lvlText w:val="•"/>
      <w:lvlJc w:val="left"/>
      <w:pPr>
        <w:tabs>
          <w:tab w:val="num" w:pos="814"/>
        </w:tabs>
        <w:ind w:left="360" w:firstLine="274"/>
      </w:pPr>
      <w:rPr>
        <w:rFonts w:hAnsi="Arial Unicode MS"/>
        <w:caps w:val="0"/>
        <w:smallCaps w:val="0"/>
        <w:strike w:val="0"/>
        <w:dstrike w:val="0"/>
        <w:outline w:val="0"/>
        <w:emboss w:val="0"/>
        <w:imprint w:val="0"/>
        <w:spacing w:val="0"/>
        <w:w w:val="100"/>
        <w:kern w:val="0"/>
        <w:position w:val="-2"/>
        <w:highlight w:val="none"/>
        <w:vertAlign w:val="baseline"/>
      </w:rPr>
    </w:lvl>
    <w:lvl w:ilvl="2">
      <w:start w:val="1"/>
      <w:numFmt w:val="bullet"/>
      <w:suff w:val="tab"/>
      <w:lvlText w:val="•"/>
      <w:lvlJc w:val="left"/>
      <w:pPr>
        <w:tabs>
          <w:tab w:val="num" w:pos="994"/>
        </w:tabs>
        <w:ind w:left="540" w:firstLine="274"/>
      </w:pPr>
      <w:rPr>
        <w:rFonts w:hAnsi="Arial Unicode MS"/>
        <w:caps w:val="0"/>
        <w:smallCaps w:val="0"/>
        <w:strike w:val="0"/>
        <w:dstrike w:val="0"/>
        <w:outline w:val="0"/>
        <w:emboss w:val="0"/>
        <w:imprint w:val="0"/>
        <w:spacing w:val="0"/>
        <w:w w:val="100"/>
        <w:kern w:val="0"/>
        <w:position w:val="-2"/>
        <w:highlight w:val="none"/>
        <w:vertAlign w:val="baseline"/>
      </w:rPr>
    </w:lvl>
    <w:lvl w:ilvl="3">
      <w:start w:val="1"/>
      <w:numFmt w:val="bullet"/>
      <w:suff w:val="tab"/>
      <w:lvlText w:val="•"/>
      <w:lvlJc w:val="left"/>
      <w:pPr>
        <w:tabs>
          <w:tab w:val="num" w:pos="1174"/>
        </w:tabs>
        <w:ind w:left="720" w:firstLine="274"/>
      </w:pPr>
      <w:rPr>
        <w:rFonts w:hAnsi="Arial Unicode MS"/>
        <w:caps w:val="0"/>
        <w:smallCaps w:val="0"/>
        <w:strike w:val="0"/>
        <w:dstrike w:val="0"/>
        <w:outline w:val="0"/>
        <w:emboss w:val="0"/>
        <w:imprint w:val="0"/>
        <w:spacing w:val="0"/>
        <w:w w:val="100"/>
        <w:kern w:val="0"/>
        <w:position w:val="-2"/>
        <w:highlight w:val="none"/>
        <w:vertAlign w:val="baseline"/>
      </w:rPr>
    </w:lvl>
    <w:lvl w:ilvl="4">
      <w:start w:val="1"/>
      <w:numFmt w:val="bullet"/>
      <w:suff w:val="tab"/>
      <w:lvlText w:val="•"/>
      <w:lvlJc w:val="left"/>
      <w:pPr>
        <w:tabs>
          <w:tab w:val="num" w:pos="1354"/>
        </w:tabs>
        <w:ind w:left="900" w:firstLine="274"/>
      </w:pPr>
      <w:rPr>
        <w:rFonts w:hAnsi="Arial Unicode MS"/>
        <w:caps w:val="0"/>
        <w:smallCaps w:val="0"/>
        <w:strike w:val="0"/>
        <w:dstrike w:val="0"/>
        <w:outline w:val="0"/>
        <w:emboss w:val="0"/>
        <w:imprint w:val="0"/>
        <w:spacing w:val="0"/>
        <w:w w:val="100"/>
        <w:kern w:val="0"/>
        <w:position w:val="-2"/>
        <w:highlight w:val="none"/>
        <w:vertAlign w:val="baseline"/>
      </w:rPr>
    </w:lvl>
    <w:lvl w:ilvl="5">
      <w:start w:val="1"/>
      <w:numFmt w:val="bullet"/>
      <w:suff w:val="tab"/>
      <w:lvlText w:val="•"/>
      <w:lvlJc w:val="left"/>
      <w:pPr>
        <w:tabs>
          <w:tab w:val="num" w:pos="1534"/>
        </w:tabs>
        <w:ind w:left="1080" w:firstLine="274"/>
      </w:pPr>
      <w:rPr>
        <w:rFonts w:hAnsi="Arial Unicode MS"/>
        <w:caps w:val="0"/>
        <w:smallCaps w:val="0"/>
        <w:strike w:val="0"/>
        <w:dstrike w:val="0"/>
        <w:outline w:val="0"/>
        <w:emboss w:val="0"/>
        <w:imprint w:val="0"/>
        <w:spacing w:val="0"/>
        <w:w w:val="100"/>
        <w:kern w:val="0"/>
        <w:position w:val="-2"/>
        <w:highlight w:val="none"/>
        <w:vertAlign w:val="baseline"/>
      </w:rPr>
    </w:lvl>
    <w:lvl w:ilvl="6">
      <w:start w:val="1"/>
      <w:numFmt w:val="bullet"/>
      <w:suff w:val="tab"/>
      <w:lvlText w:val="•"/>
      <w:lvlJc w:val="left"/>
      <w:pPr>
        <w:tabs>
          <w:tab w:val="num" w:pos="1714"/>
        </w:tabs>
        <w:ind w:left="1260" w:firstLine="274"/>
      </w:pPr>
      <w:rPr>
        <w:rFonts w:hAnsi="Arial Unicode MS"/>
        <w:caps w:val="0"/>
        <w:smallCaps w:val="0"/>
        <w:strike w:val="0"/>
        <w:dstrike w:val="0"/>
        <w:outline w:val="0"/>
        <w:emboss w:val="0"/>
        <w:imprint w:val="0"/>
        <w:spacing w:val="0"/>
        <w:w w:val="100"/>
        <w:kern w:val="0"/>
        <w:position w:val="-2"/>
        <w:highlight w:val="none"/>
        <w:vertAlign w:val="baseline"/>
      </w:rPr>
    </w:lvl>
    <w:lvl w:ilvl="7">
      <w:start w:val="1"/>
      <w:numFmt w:val="bullet"/>
      <w:suff w:val="tab"/>
      <w:lvlText w:val="•"/>
      <w:lvlJc w:val="left"/>
      <w:pPr>
        <w:tabs>
          <w:tab w:val="num" w:pos="1894"/>
        </w:tabs>
        <w:ind w:left="1440" w:firstLine="274"/>
      </w:pPr>
      <w:rPr>
        <w:rFonts w:hAnsi="Arial Unicode MS"/>
        <w:caps w:val="0"/>
        <w:smallCaps w:val="0"/>
        <w:strike w:val="0"/>
        <w:dstrike w:val="0"/>
        <w:outline w:val="0"/>
        <w:emboss w:val="0"/>
        <w:imprint w:val="0"/>
        <w:spacing w:val="0"/>
        <w:w w:val="100"/>
        <w:kern w:val="0"/>
        <w:position w:val="-2"/>
        <w:highlight w:val="none"/>
        <w:vertAlign w:val="baseline"/>
      </w:rPr>
    </w:lvl>
    <w:lvl w:ilvl="8">
      <w:start w:val="1"/>
      <w:numFmt w:val="bullet"/>
      <w:suff w:val="tab"/>
      <w:lvlText w:val="•"/>
      <w:lvlJc w:val="left"/>
      <w:pPr>
        <w:tabs>
          <w:tab w:val="num" w:pos="2074"/>
        </w:tabs>
        <w:ind w:left="1620" w:firstLine="274"/>
      </w:pPr>
      <w:rPr>
        <w:rFonts w:hAnsi="Arial Unicode MS"/>
        <w:caps w:val="0"/>
        <w:smallCaps w:val="0"/>
        <w:strike w:val="0"/>
        <w:dstrike w:val="0"/>
        <w:outline w:val="0"/>
        <w:emboss w:val="0"/>
        <w:imprint w:val="0"/>
        <w:spacing w:val="0"/>
        <w:w w:val="100"/>
        <w:kern w:val="0"/>
        <w:position w:val="-2"/>
        <w:highlight w:val="none"/>
        <w:vertAlign w:val="baseline"/>
      </w:rPr>
    </w:lvl>
  </w:abstractNum>
  <w:abstractNum w:abstractNumId="2">
    <w:multiLevelType w:val="hybridMultilevel"/>
    <w:numStyleLink w:val="编号"/>
  </w:abstractNum>
  <w:abstractNum w:abstractNumId="3">
    <w:multiLevelType w:val="hybridMultilevel"/>
    <w:styleLink w:val="编号"/>
    <w:lvl w:ilvl="0">
      <w:start w:val="1"/>
      <w:numFmt w:val="decimal"/>
      <w:suff w:val="tab"/>
      <w:lvlText w:val="%1."/>
      <w:lvlJc w:val="left"/>
      <w:pPr>
        <w:ind w:left="36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ind w:left="72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ind w:left="108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144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ind w:left="180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ind w:left="216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252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ind w:left="288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ind w:left="324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abstractNum>
  <w:abstractNum w:abstractNumId="4">
    <w:multiLevelType w:val="hybridMultilevel"/>
    <w:numStyleLink w:val="破折号"/>
  </w:abstractNum>
  <w:abstractNum w:abstractNumId="5">
    <w:multiLevelType w:val="hybridMultilevel"/>
    <w:styleLink w:val="破折号"/>
    <w:lvl w:ilvl="0">
      <w:start w:val="1"/>
      <w:numFmt w:val="bullet"/>
      <w:suff w:val="tab"/>
      <w:lvlText w:val="-"/>
      <w:lvlJc w:val="left"/>
      <w:pPr>
        <w:ind w:left="24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1">
      <w:start w:val="1"/>
      <w:numFmt w:val="bullet"/>
      <w:suff w:val="tab"/>
      <w:lvlText w:val="-"/>
      <w:lvlJc w:val="left"/>
      <w:pPr>
        <w:ind w:left="48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2">
      <w:start w:val="1"/>
      <w:numFmt w:val="bullet"/>
      <w:suff w:val="tab"/>
      <w:lvlText w:val="-"/>
      <w:lvlJc w:val="left"/>
      <w:pPr>
        <w:ind w:left="72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3">
      <w:start w:val="1"/>
      <w:numFmt w:val="bullet"/>
      <w:suff w:val="tab"/>
      <w:lvlText w:val="-"/>
      <w:lvlJc w:val="left"/>
      <w:pPr>
        <w:ind w:left="96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4">
      <w:start w:val="1"/>
      <w:numFmt w:val="bullet"/>
      <w:suff w:val="tab"/>
      <w:lvlText w:val="-"/>
      <w:lvlJc w:val="left"/>
      <w:pPr>
        <w:ind w:left="120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5">
      <w:start w:val="1"/>
      <w:numFmt w:val="bullet"/>
      <w:suff w:val="tab"/>
      <w:lvlText w:val="-"/>
      <w:lvlJc w:val="left"/>
      <w:pPr>
        <w:ind w:left="144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6">
      <w:start w:val="1"/>
      <w:numFmt w:val="bullet"/>
      <w:suff w:val="tab"/>
      <w:lvlText w:val="-"/>
      <w:lvlJc w:val="left"/>
      <w:pPr>
        <w:ind w:left="168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7">
      <w:start w:val="1"/>
      <w:numFmt w:val="bullet"/>
      <w:suff w:val="tab"/>
      <w:lvlText w:val="-"/>
      <w:lvlJc w:val="left"/>
      <w:pPr>
        <w:ind w:left="192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8">
      <w:start w:val="1"/>
      <w:numFmt w:val="bullet"/>
      <w:suff w:val="tab"/>
      <w:lvlText w:val="-"/>
      <w:lvlJc w:val="left"/>
      <w:pPr>
        <w:ind w:left="216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abstractNum>
  <w:num w:numId="1">
    <w:abstractNumId w:val="1"/>
  </w:num>
  <w:num w:numId="2">
    <w:abstractNumId w:val="0"/>
  </w:num>
  <w:num w:numId="3">
    <w:abstractNumId w:val="3"/>
  </w:num>
  <w:num w:numId="4">
    <w:abstractNumId w:val="2"/>
  </w:num>
  <w:num w:numId="5">
    <w:abstractNumId w:val="0"/>
    <w:lvlOverride w:ilvl="0">
      <w:lvl w:ilvl="0">
        <w:start w:val="1"/>
        <w:numFmt w:val="bullet"/>
        <w:suff w:val="tab"/>
        <w:lvlText w:val="•"/>
        <w:lvlJc w:val="left"/>
        <w:pPr>
          <w:ind w:left="180" w:hanging="180"/>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1">
      <w:lvl w:ilvl="1">
        <w:start w:val="1"/>
        <w:numFmt w:val="bullet"/>
        <w:suff w:val="tab"/>
        <w:lvlText w:val="•"/>
        <w:lvlJc w:val="left"/>
        <w:pPr>
          <w:ind w:left="360" w:hanging="180"/>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2">
      <w:lvl w:ilvl="2">
        <w:start w:val="1"/>
        <w:numFmt w:val="bullet"/>
        <w:suff w:val="tab"/>
        <w:lvlText w:val="•"/>
        <w:lvlJc w:val="left"/>
        <w:pPr>
          <w:ind w:left="540" w:hanging="180"/>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3">
      <w:lvl w:ilvl="3">
        <w:start w:val="1"/>
        <w:numFmt w:val="bullet"/>
        <w:suff w:val="tab"/>
        <w:lvlText w:val="•"/>
        <w:lvlJc w:val="left"/>
        <w:pPr>
          <w:ind w:left="720" w:hanging="180"/>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4">
      <w:lvl w:ilvl="4">
        <w:start w:val="1"/>
        <w:numFmt w:val="bullet"/>
        <w:suff w:val="tab"/>
        <w:lvlText w:val="•"/>
        <w:lvlJc w:val="left"/>
        <w:pPr>
          <w:ind w:left="900" w:hanging="180"/>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5">
      <w:lvl w:ilvl="5">
        <w:start w:val="1"/>
        <w:numFmt w:val="bullet"/>
        <w:suff w:val="tab"/>
        <w:lvlText w:val="•"/>
        <w:lvlJc w:val="left"/>
        <w:pPr>
          <w:ind w:left="1080" w:hanging="180"/>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6">
      <w:lvl w:ilvl="6">
        <w:start w:val="1"/>
        <w:numFmt w:val="bullet"/>
        <w:suff w:val="tab"/>
        <w:lvlText w:val="•"/>
        <w:lvlJc w:val="left"/>
        <w:pPr>
          <w:ind w:left="1260" w:hanging="180"/>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7">
      <w:lvl w:ilvl="7">
        <w:start w:val="1"/>
        <w:numFmt w:val="bullet"/>
        <w:suff w:val="tab"/>
        <w:lvlText w:val="•"/>
        <w:lvlJc w:val="left"/>
        <w:pPr>
          <w:ind w:left="1440" w:hanging="180"/>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8">
      <w:lvl w:ilvl="8">
        <w:start w:val="1"/>
        <w:numFmt w:val="bullet"/>
        <w:suff w:val="tab"/>
        <w:lvlText w:val="•"/>
        <w:lvlJc w:val="left"/>
        <w:pPr>
          <w:ind w:left="1620" w:hanging="180"/>
        </w:pPr>
        <w:rPr>
          <w:rFonts w:hAnsi="Arial Unicode MS"/>
          <w:caps w:val="0"/>
          <w:smallCaps w:val="0"/>
          <w:strike w:val="0"/>
          <w:dstrike w:val="0"/>
          <w:outline w:val="0"/>
          <w:emboss w:val="0"/>
          <w:imprint w:val="0"/>
          <w:spacing w:val="0"/>
          <w:w w:val="100"/>
          <w:kern w:val="0"/>
          <w:position w:val="-2"/>
          <w:highlight w:val="none"/>
          <w:vertAlign w:val="baseline"/>
        </w:rPr>
      </w:lvl>
    </w:lvlOverride>
  </w:num>
  <w:num w:numId="6">
    <w:abstractNumId w:val="5"/>
  </w:num>
  <w:num w:numId="7">
    <w:abstractNumId w:val="4"/>
  </w:num>
  <w:num w:numId="8">
    <w:abstractNumId w:val="2"/>
    <w:lvlOverride w:ilvl="0">
      <w:startOverride w:val="1"/>
      <w:lvl w:ilvl="0">
        <w:start w:val="1"/>
        <w:numFmt w:val="decimal"/>
        <w:suff w:val="tab"/>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suff w:val="tab"/>
        <w:lvlText w:val="%2."/>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suff w:val="tab"/>
        <w:lvlText w:val="%3."/>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tab"/>
        <w:lvlText w:val="%4."/>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tab"/>
        <w:lvlText w:val="%5."/>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tab"/>
        <w:lvlText w:val="%6."/>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tab"/>
        <w:lvlText w:val="%7."/>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tab"/>
        <w:lvlText w:val="%8."/>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tab"/>
        <w:lvlText w:val="%9."/>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9">
    <w:abstractNumId w:val="2"/>
    <w:lvlOverride w:ilvl="0">
      <w:startOverride w:val="1"/>
    </w:lvlOverride>
  </w:num>
  <w:num w:numId="10">
    <w:abstractNumId w:val="2"/>
    <w:lvlOverride w:ilvl="0">
      <w:startOverride w:val="1"/>
    </w:lvlOverride>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中文" w:val="‘“(〔[{〈《「『【⦅〘〖«〝︵︷︹︻︽︿﹁﹃﹇﹙﹛﹝｢"/>
  <w:noLineBreaksBefore w:lang="中文"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正文">
    <w:name w:val="正文"/>
    <w:next w:val="正文"/>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Arial Unicode MS" w:cs="Arial Unicode MS" w:hAnsi="Arial Unicode MS" w:eastAsia="Helvetica Neue" w:hint="eastAsia"/>
      <w:b w:val="0"/>
      <w:bCs w:val="0"/>
      <w:i w:val="0"/>
      <w:iCs w:val="0"/>
      <w:caps w:val="0"/>
      <w:smallCaps w:val="0"/>
      <w:strike w:val="0"/>
      <w:dstrike w:val="0"/>
      <w:outline w:val="0"/>
      <w:color w:val="000000"/>
      <w:spacing w:val="0"/>
      <w:kern w:val="0"/>
      <w:position w:val="0"/>
      <w:sz w:val="22"/>
      <w:szCs w:val="22"/>
      <w:u w:val="none"/>
      <w:shd w:val="nil" w:color="auto" w:fill="auto"/>
      <w:vertAlign w:val="baseline"/>
      <w:lang w:val="zh-CN" w:eastAsia="zh-CN"/>
      <w14:textOutline>
        <w14:noFill/>
      </w14:textOutline>
      <w14:textFill>
        <w14:solidFill>
          <w14:srgbClr w14:val="000000"/>
        </w14:solidFill>
      </w14:textFill>
    </w:rPr>
  </w:style>
  <w:style w:type="paragraph" w:styleId="默认">
    <w:name w:val="默认"/>
    <w:next w:val="默认"/>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Helvetica Neue" w:hAnsi="Helvetica Neue" w:eastAsia="Helvetica Neue"/>
      <w:b w:val="0"/>
      <w:bCs w:val="0"/>
      <w:i w:val="0"/>
      <w:iCs w:val="0"/>
      <w:caps w:val="0"/>
      <w:smallCaps w:val="0"/>
      <w:strike w:val="0"/>
      <w:dstrike w:val="0"/>
      <w:outline w:val="0"/>
      <w:color w:val="000000"/>
      <w:spacing w:val="0"/>
      <w:kern w:val="0"/>
      <w:position w:val="0"/>
      <w:sz w:val="22"/>
      <w:szCs w:val="22"/>
      <w:u w:val="none"/>
      <w:shd w:val="nil" w:color="auto" w:fill="auto"/>
      <w:vertAlign w:val="baseline"/>
      <w14:textOutline>
        <w14:noFill/>
      </w14:textOutline>
      <w14:textFill>
        <w14:solidFill>
          <w14:srgbClr w14:val="000000"/>
        </w14:solidFill>
      </w14:textFill>
    </w:rPr>
  </w:style>
  <w:style w:type="numbering" w:styleId="项目符号">
    <w:name w:val="项目符号"/>
    <w:pPr>
      <w:numPr>
        <w:numId w:val="1"/>
      </w:numPr>
    </w:pPr>
  </w:style>
  <w:style w:type="numbering" w:styleId="编号">
    <w:name w:val="编号"/>
    <w:pPr>
      <w:numPr>
        <w:numId w:val="3"/>
      </w:numPr>
    </w:pPr>
  </w:style>
  <w:style w:type="numbering" w:styleId="破折号">
    <w:name w:val="破折号"/>
    <w:pPr>
      <w:numPr>
        <w:numId w:val="6"/>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jpeg"/><Relationship Id="rId5" Type="http://schemas.openxmlformats.org/officeDocument/2006/relationships/image" Target="media/image1.png"/><Relationship Id="rId6" Type="http://schemas.openxmlformats.org/officeDocument/2006/relationships/image" Target="media/image2.png"/><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numbering" Target="numbering.xml"/><Relationship Id="rId10"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upright="0">
        <a:spAutoFit/>
      </a:bodyPr>
      <a:lstStyle>
        <a:defPPr marL="0" marR="0" indent="0" algn="ctr" defTabSz="457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